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858491">
      <w:pPr>
        <w:spacing w:line="300" w:lineRule="auto"/>
        <w:jc w:val="center"/>
        <w:rPr>
          <w:rFonts w:ascii="Arial" w:hAnsi="Arial" w:eastAsia="宋体" w:cs="Arial"/>
          <w:b/>
          <w:bCs/>
          <w:sz w:val="28"/>
          <w:szCs w:val="28"/>
        </w:rPr>
      </w:pPr>
    </w:p>
    <w:p w14:paraId="5833E53E">
      <w:pPr>
        <w:spacing w:line="300" w:lineRule="auto"/>
        <w:jc w:val="center"/>
        <w:rPr>
          <w:rFonts w:ascii="Arial" w:hAnsi="Arial" w:eastAsia="宋体" w:cs="Arial"/>
          <w:b/>
          <w:bCs/>
          <w:sz w:val="28"/>
          <w:szCs w:val="28"/>
        </w:rPr>
      </w:pPr>
    </w:p>
    <w:p w14:paraId="721D5121">
      <w:pPr>
        <w:spacing w:line="300" w:lineRule="auto"/>
        <w:jc w:val="center"/>
        <w:rPr>
          <w:rFonts w:ascii="Arial" w:hAnsi="Arial" w:eastAsia="宋体" w:cs="Arial"/>
          <w:b/>
          <w:bCs/>
          <w:sz w:val="28"/>
          <w:szCs w:val="28"/>
        </w:rPr>
      </w:pPr>
    </w:p>
    <w:p w14:paraId="72388DF2">
      <w:pPr>
        <w:spacing w:line="300" w:lineRule="auto"/>
        <w:jc w:val="center"/>
        <w:rPr>
          <w:rFonts w:ascii="Arial" w:hAnsi="Arial" w:eastAsia="宋体" w:cs="Arial"/>
          <w:b/>
          <w:bCs/>
          <w:sz w:val="28"/>
          <w:szCs w:val="28"/>
        </w:rPr>
      </w:pPr>
    </w:p>
    <w:p w14:paraId="001BDAB6">
      <w:pPr>
        <w:spacing w:line="300" w:lineRule="auto"/>
        <w:jc w:val="center"/>
        <w:rPr>
          <w:rFonts w:ascii="Arial" w:hAnsi="Arial" w:eastAsia="宋体" w:cs="Arial"/>
          <w:b/>
          <w:bCs/>
          <w:sz w:val="52"/>
          <w:szCs w:val="52"/>
        </w:rPr>
      </w:pPr>
      <w:r>
        <w:rPr>
          <w:rFonts w:ascii="Arial" w:hAnsi="Arial" w:eastAsia="宋体" w:cs="Arial"/>
          <w:b/>
          <w:bCs/>
          <w:sz w:val="52"/>
          <w:szCs w:val="52"/>
        </w:rPr>
        <w:t>天津市</w:t>
      </w:r>
      <w:r>
        <w:rPr>
          <w:rFonts w:hint="eastAsia" w:ascii="Arial" w:hAnsi="Arial" w:eastAsia="宋体" w:cs="Arial"/>
          <w:b/>
          <w:bCs/>
          <w:sz w:val="52"/>
          <w:szCs w:val="52"/>
        </w:rPr>
        <w:t>蓟州区第四中学短期</w:t>
      </w:r>
      <w:r>
        <w:rPr>
          <w:rFonts w:ascii="Arial" w:hAnsi="Arial" w:eastAsia="宋体" w:cs="Arial"/>
          <w:b/>
          <w:bCs/>
          <w:sz w:val="52"/>
          <w:szCs w:val="52"/>
        </w:rPr>
        <w:t>避难场所</w:t>
      </w:r>
    </w:p>
    <w:p w14:paraId="7C316582">
      <w:pPr>
        <w:spacing w:line="300" w:lineRule="auto"/>
        <w:jc w:val="center"/>
        <w:rPr>
          <w:rFonts w:ascii="Arial" w:hAnsi="Arial" w:eastAsia="宋体" w:cs="Arial"/>
          <w:b/>
          <w:bCs/>
          <w:sz w:val="52"/>
          <w:szCs w:val="52"/>
        </w:rPr>
      </w:pPr>
      <w:r>
        <w:rPr>
          <w:rFonts w:ascii="Arial" w:hAnsi="Arial" w:eastAsia="宋体" w:cs="Arial"/>
          <w:b/>
          <w:bCs/>
          <w:sz w:val="52"/>
          <w:szCs w:val="52"/>
        </w:rPr>
        <w:t>建设项目规划方案</w:t>
      </w:r>
    </w:p>
    <w:p w14:paraId="574A4F49">
      <w:pPr>
        <w:spacing w:line="300" w:lineRule="auto"/>
        <w:jc w:val="center"/>
        <w:rPr>
          <w:rFonts w:ascii="Arial" w:hAnsi="Arial" w:eastAsia="宋体" w:cs="Arial"/>
          <w:b/>
          <w:bCs/>
          <w:sz w:val="52"/>
          <w:szCs w:val="52"/>
        </w:rPr>
      </w:pPr>
    </w:p>
    <w:p w14:paraId="27EBD7CA">
      <w:pPr>
        <w:spacing w:line="300" w:lineRule="auto"/>
        <w:jc w:val="center"/>
        <w:rPr>
          <w:rFonts w:ascii="Arial" w:hAnsi="Arial" w:eastAsia="宋体" w:cs="Arial"/>
          <w:b/>
          <w:bCs/>
          <w:sz w:val="28"/>
          <w:szCs w:val="28"/>
        </w:rPr>
      </w:pPr>
    </w:p>
    <w:p w14:paraId="2458FA87">
      <w:pPr>
        <w:spacing w:line="300" w:lineRule="auto"/>
        <w:jc w:val="center"/>
        <w:rPr>
          <w:rFonts w:ascii="Arial" w:hAnsi="Arial" w:eastAsia="宋体" w:cs="Arial"/>
          <w:b/>
          <w:bCs/>
          <w:sz w:val="28"/>
          <w:szCs w:val="28"/>
        </w:rPr>
      </w:pPr>
    </w:p>
    <w:p w14:paraId="776016A1">
      <w:pPr>
        <w:spacing w:line="300" w:lineRule="auto"/>
        <w:jc w:val="center"/>
        <w:rPr>
          <w:rFonts w:ascii="Arial" w:hAnsi="Arial" w:eastAsia="宋体" w:cs="Arial"/>
          <w:b/>
          <w:bCs/>
          <w:sz w:val="28"/>
          <w:szCs w:val="28"/>
        </w:rPr>
      </w:pPr>
    </w:p>
    <w:p w14:paraId="02867AB4">
      <w:pPr>
        <w:spacing w:line="300" w:lineRule="auto"/>
        <w:jc w:val="center"/>
        <w:rPr>
          <w:rFonts w:ascii="Arial" w:hAnsi="Arial" w:eastAsia="宋体" w:cs="Arial"/>
          <w:b/>
          <w:bCs/>
          <w:sz w:val="28"/>
          <w:szCs w:val="28"/>
        </w:rPr>
      </w:pPr>
    </w:p>
    <w:p w14:paraId="5D9DCC77">
      <w:pPr>
        <w:spacing w:line="300" w:lineRule="auto"/>
        <w:jc w:val="center"/>
        <w:rPr>
          <w:rFonts w:ascii="Arial" w:hAnsi="Arial" w:eastAsia="宋体" w:cs="Arial"/>
          <w:b/>
          <w:bCs/>
          <w:sz w:val="28"/>
          <w:szCs w:val="28"/>
        </w:rPr>
      </w:pPr>
    </w:p>
    <w:p w14:paraId="0471E3DC">
      <w:pPr>
        <w:spacing w:line="300" w:lineRule="auto"/>
        <w:jc w:val="center"/>
        <w:rPr>
          <w:rFonts w:ascii="Arial" w:hAnsi="Arial" w:eastAsia="宋体" w:cs="Arial"/>
          <w:b/>
          <w:bCs/>
          <w:sz w:val="28"/>
          <w:szCs w:val="28"/>
        </w:rPr>
      </w:pPr>
    </w:p>
    <w:p w14:paraId="7713191C">
      <w:pPr>
        <w:spacing w:line="300" w:lineRule="auto"/>
        <w:jc w:val="center"/>
        <w:rPr>
          <w:rFonts w:ascii="Arial" w:hAnsi="Arial" w:eastAsia="宋体" w:cs="Arial"/>
          <w:b/>
          <w:bCs/>
          <w:sz w:val="28"/>
          <w:szCs w:val="28"/>
        </w:rPr>
      </w:pPr>
    </w:p>
    <w:p w14:paraId="205A7D44">
      <w:pPr>
        <w:spacing w:line="300" w:lineRule="auto"/>
        <w:jc w:val="center"/>
        <w:rPr>
          <w:rFonts w:ascii="Arial" w:hAnsi="Arial" w:eastAsia="宋体" w:cs="Arial"/>
          <w:b/>
          <w:bCs/>
          <w:sz w:val="28"/>
          <w:szCs w:val="28"/>
        </w:rPr>
      </w:pPr>
    </w:p>
    <w:p w14:paraId="2781FC19">
      <w:pPr>
        <w:spacing w:line="300" w:lineRule="auto"/>
        <w:jc w:val="center"/>
        <w:rPr>
          <w:rFonts w:hint="eastAsia" w:ascii="Arial" w:hAnsi="Arial" w:eastAsia="宋体" w:cs="Arial"/>
          <w:b/>
          <w:bCs/>
          <w:sz w:val="28"/>
          <w:szCs w:val="28"/>
        </w:rPr>
      </w:pPr>
    </w:p>
    <w:p w14:paraId="0B92A8C0">
      <w:pPr>
        <w:spacing w:line="300" w:lineRule="auto"/>
        <w:rPr>
          <w:rFonts w:ascii="Arial" w:hAnsi="Arial" w:eastAsia="宋体" w:cs="Arial"/>
          <w:b/>
          <w:bCs/>
          <w:sz w:val="28"/>
          <w:szCs w:val="28"/>
        </w:rPr>
      </w:pPr>
    </w:p>
    <w:p w14:paraId="7299E42E">
      <w:pPr>
        <w:spacing w:line="300" w:lineRule="auto"/>
        <w:jc w:val="center"/>
        <w:rPr>
          <w:rFonts w:ascii="Arial" w:hAnsi="Arial" w:eastAsia="宋体" w:cs="Arial"/>
          <w:b/>
          <w:bCs/>
          <w:sz w:val="32"/>
          <w:szCs w:val="32"/>
        </w:rPr>
      </w:pPr>
      <w:r>
        <w:rPr>
          <w:rFonts w:hint="eastAsia" w:ascii="Arial" w:hAnsi="Arial" w:eastAsia="宋体" w:cs="Arial"/>
          <w:b/>
          <w:bCs/>
          <w:sz w:val="32"/>
          <w:szCs w:val="32"/>
        </w:rPr>
        <w:t>天津建工集团建筑设计</w:t>
      </w:r>
      <w:r>
        <w:rPr>
          <w:rFonts w:ascii="Arial" w:hAnsi="Arial" w:eastAsia="宋体" w:cs="Arial"/>
          <w:b/>
          <w:bCs/>
          <w:sz w:val="32"/>
          <w:szCs w:val="32"/>
        </w:rPr>
        <w:t>有限公司</w:t>
      </w:r>
    </w:p>
    <w:p w14:paraId="200D2A4F">
      <w:pPr>
        <w:spacing w:line="300" w:lineRule="auto"/>
        <w:jc w:val="center"/>
        <w:rPr>
          <w:rFonts w:ascii="Arial" w:hAnsi="Arial" w:eastAsia="宋体" w:cs="Arial"/>
          <w:b/>
          <w:bCs/>
          <w:sz w:val="32"/>
          <w:szCs w:val="32"/>
        </w:rPr>
      </w:pPr>
      <w:r>
        <w:rPr>
          <w:rFonts w:ascii="Arial" w:hAnsi="Arial" w:eastAsia="宋体" w:cs="Arial"/>
          <w:b/>
          <w:bCs/>
          <w:sz w:val="32"/>
          <w:szCs w:val="32"/>
        </w:rPr>
        <w:t>2025年8月11日</w:t>
      </w:r>
    </w:p>
    <w:p w14:paraId="3EB484E3">
      <w:pPr>
        <w:spacing w:line="300" w:lineRule="auto"/>
        <w:rPr>
          <w:rFonts w:ascii="Arial" w:hAnsi="Arial" w:eastAsia="宋体" w:cs="Arial"/>
          <w:sz w:val="28"/>
          <w:szCs w:val="28"/>
        </w:rPr>
      </w:pPr>
    </w:p>
    <w:p w14:paraId="38F6568B">
      <w:pPr>
        <w:spacing w:line="300" w:lineRule="auto"/>
        <w:rPr>
          <w:rFonts w:ascii="Arial" w:hAnsi="Arial" w:eastAsia="宋体" w:cs="Arial"/>
          <w:sz w:val="28"/>
          <w:szCs w:val="28"/>
        </w:rPr>
      </w:pPr>
    </w:p>
    <w:p w14:paraId="5447BED3">
      <w:pPr>
        <w:spacing w:line="300" w:lineRule="auto"/>
        <w:rPr>
          <w:rFonts w:ascii="Arial" w:hAnsi="Arial" w:eastAsia="宋体" w:cs="Arial"/>
          <w:sz w:val="28"/>
          <w:szCs w:val="28"/>
        </w:rPr>
      </w:pPr>
    </w:p>
    <w:p w14:paraId="594AC9EC">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应急避难场所是政府和社会应对突发性灾害事件时紧急疏散及临时安置灾民的主要场所，是加强社会应急救援体系建设的重要内容。按照《天津市应急管理“十四五”规划》，十四五期间重点推进中心和固定应急避难场所建设。其中中心城区、环城四区及外围五区每区至少完成3 处以上，滨海新区完成6 处以上中心或固定应急避难场所建设。此前，我区已完成蓟州区人民公园长期避难场所建设。现结合蓟州区实际情况，选定蓟州区第一中学、蓟州区第四中学作为短期避难场所进行建设，以下是蓟州区第四中学短期避难场所规划建设方案。</w:t>
      </w:r>
    </w:p>
    <w:p w14:paraId="5527FA1C">
      <w:pPr>
        <w:pStyle w:val="2"/>
      </w:pPr>
      <w:bookmarkStart w:id="0" w:name="_Toc61374438"/>
      <w:r>
        <w:rPr>
          <w:rFonts w:hint="eastAsia"/>
        </w:rPr>
        <w:t>一、</w:t>
      </w:r>
      <w:r>
        <w:rPr>
          <w:lang w:eastAsia="zh-Hans"/>
        </w:rPr>
        <w:t>项目</w:t>
      </w:r>
      <w:r>
        <w:rPr>
          <w:rFonts w:hint="eastAsia"/>
        </w:rPr>
        <w:t>建设</w:t>
      </w:r>
      <w:r>
        <w:t>必要性</w:t>
      </w:r>
      <w:bookmarkEnd w:id="0"/>
      <w:bookmarkStart w:id="1" w:name="_Toc61374439"/>
    </w:p>
    <w:p w14:paraId="41DB93BF">
      <w:pPr>
        <w:adjustRightInd w:val="0"/>
        <w:snapToGrid w:val="0"/>
        <w:spacing w:line="588" w:lineRule="exact"/>
        <w:ind w:firstLine="640" w:firstLineChars="200"/>
        <w:rPr>
          <w:rFonts w:ascii="Times New Roman" w:hAnsi="Times New Roman" w:eastAsia="仿宋_GB2312" w:cs="仿宋_GB2312"/>
          <w:kern w:val="0"/>
          <w:sz w:val="32"/>
          <w:szCs w:val="32"/>
        </w:rPr>
      </w:pPr>
      <w:r>
        <w:rPr>
          <w:rFonts w:ascii="Times New Roman" w:hAnsi="Times New Roman" w:eastAsia="仿宋_GB2312" w:cs="仿宋_GB2312"/>
          <w:kern w:val="0"/>
          <w:sz w:val="32"/>
          <w:szCs w:val="32"/>
        </w:rPr>
        <w:t>蓟州区位于天津市最北部，地处京、津、唐、承四市之腹心。地势北高南低，呈阶梯分布。北缘最高点为九山顶，海拔1078.5米，南部最低处在马槽洼，海拔1.8米；南北高差1076.7米；山区面积840.5平方公里，平原面积504.72平方公里，洼地面积245.2平方公里。全区总面积1590平方公里，下辖26个乡镇、一个城区街道办事处、949个行政村、31个居委会，总人口约86.57万人。全区自然风光秀丽，名胜古迹众多，蓟州城内还有国家重点保护的千年古刹。辖区内现有危险化学品生产、经营、使用企业，涉氨企业，民爆企业，危险货物运输企业，多家加油站、加气站，燃气场站等生产经营单位，地下线路管网纵横交错。于桥水库位于蓟州区城东，是国家重点大型水库之一，水库坝址建于蓟运河左支流州河出口处，被水利部列为全国重要饮用水水源地。蓟州区存在山洪、洪水、沥涝、地震、山体滑坡、泥石流、气象、森林火灾等自然灾害风险，重大自然灾害一旦发生，将对蓟州区造成极大破坏，大量群众需要疏散、避险、救援和安置。</w:t>
      </w:r>
    </w:p>
    <w:p w14:paraId="6C5D6E94">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因此，规划建设应急避难场所既是国家和市政府的要求，也是蓟州区客观现实的需要，是一项刻不容缓的工作。</w:t>
      </w:r>
    </w:p>
    <w:p w14:paraId="6A08525E">
      <w:pPr>
        <w:pStyle w:val="2"/>
      </w:pPr>
      <w:r>
        <w:rPr>
          <w:rFonts w:hint="eastAsia"/>
        </w:rPr>
        <w:t>二、</w:t>
      </w:r>
      <w:r>
        <w:rPr>
          <w:lang w:eastAsia="zh-Hans"/>
        </w:rPr>
        <w:t>项目</w:t>
      </w:r>
      <w:r>
        <w:rPr>
          <w:rFonts w:hint="eastAsia"/>
        </w:rPr>
        <w:t>建设</w:t>
      </w:r>
      <w:r>
        <w:t>目标任务</w:t>
      </w:r>
      <w:bookmarkEnd w:id="1"/>
    </w:p>
    <w:p w14:paraId="1CFF7F32">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本次按照《天津市应急避难场所建设要求》（DB12/T 1031-2021）、《应急避难场所 分级及分类》（</w:t>
      </w:r>
      <w:r>
        <w:rPr>
          <w:rFonts w:ascii="Times New Roman" w:hAnsi="Times New Roman" w:eastAsia="仿宋_GB2312" w:cs="仿宋_GB2312"/>
          <w:kern w:val="0"/>
          <w:sz w:val="32"/>
          <w:szCs w:val="32"/>
        </w:rPr>
        <w:t>GB/T 44013-2024</w:t>
      </w:r>
      <w:r>
        <w:rPr>
          <w:rFonts w:hint="eastAsia" w:ascii="Times New Roman" w:hAnsi="Times New Roman" w:eastAsia="仿宋_GB2312" w:cs="仿宋_GB2312"/>
          <w:kern w:val="0"/>
          <w:sz w:val="32"/>
          <w:szCs w:val="32"/>
        </w:rPr>
        <w:t>）、《应急避难场所 标志》（</w:t>
      </w:r>
      <w:r>
        <w:rPr>
          <w:rFonts w:ascii="Times New Roman" w:hAnsi="Times New Roman" w:eastAsia="仿宋_GB2312" w:cs="仿宋_GB2312"/>
          <w:kern w:val="0"/>
          <w:sz w:val="32"/>
          <w:szCs w:val="32"/>
        </w:rPr>
        <w:t>GB/T 44014-2024</w:t>
      </w:r>
      <w:r>
        <w:rPr>
          <w:rFonts w:hint="eastAsia" w:ascii="Times New Roman" w:hAnsi="Times New Roman" w:eastAsia="仿宋_GB2312" w:cs="仿宋_GB2312"/>
          <w:kern w:val="0"/>
          <w:sz w:val="32"/>
          <w:szCs w:val="32"/>
        </w:rPr>
        <w:t>）、《应急避难场所 设施设备及物资配置》（YJ/T 26-2024）等规范要求，结合两学校实际情况，合理规划分应急功能区、完善应急设施、储备应急物资设备，并制定相应应急疏散预案，进一步提高综合防灾减灾能力，保障人民群众生命财产安全。</w:t>
      </w:r>
    </w:p>
    <w:p w14:paraId="29AEB592">
      <w:pPr>
        <w:pStyle w:val="2"/>
      </w:pPr>
      <w:r>
        <w:rPr>
          <w:rFonts w:hint="eastAsia"/>
        </w:rPr>
        <w:t>三、项目建设依据</w:t>
      </w:r>
    </w:p>
    <w:p w14:paraId="3751248F">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（一）政策文件类</w:t>
      </w:r>
    </w:p>
    <w:p w14:paraId="4984625A">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1.《“十四五”国家应急体系规划》（国发〔2021〕36号）；</w:t>
      </w:r>
    </w:p>
    <w:p w14:paraId="59BE44D6">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2.《“十四五”应急物资保障规划》（2022年应急管理部、国家发展改革委、财政部、国家粮食和储备局联合印发）；</w:t>
      </w:r>
    </w:p>
    <w:p w14:paraId="2832158F">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3.《天津市应急管理“十四五”规划》(津政办发〔2021〕34号）；</w:t>
      </w:r>
    </w:p>
    <w:p w14:paraId="00DC2C1F">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4.《天津市应急避难场所规划（2020-2035年）》；</w:t>
      </w:r>
    </w:p>
    <w:p w14:paraId="27D869CC">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7.《天津市应急避难场所建设实施方案》（津抗震办发〔2020〕4号）；</w:t>
      </w:r>
    </w:p>
    <w:p w14:paraId="232C024F">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8.《天津市应急避难场所管理办法（试行）》（津应急委发〔2022〕1号）。</w:t>
      </w:r>
    </w:p>
    <w:p w14:paraId="5B0A0875">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（二）规范标准类</w:t>
      </w:r>
    </w:p>
    <w:p w14:paraId="1445A2B3">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1.《城市抗震防灾规划标准》（GB50413-2007）；</w:t>
      </w:r>
    </w:p>
    <w:p w14:paraId="2E03EFEB">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2.《地震应急避难场所场址及配套设施设计规范》（GB21734-2008）；</w:t>
      </w:r>
    </w:p>
    <w:p w14:paraId="47E7BCA5">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3.《防灾避难场所设计规范》（GB51143-2015）；</w:t>
      </w:r>
    </w:p>
    <w:p w14:paraId="21F3CBDD">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4.《天津市应急避难场所建设要求》（DB12/T 1031-2021）；</w:t>
      </w:r>
    </w:p>
    <w:p w14:paraId="44AFB1D0">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5.《天津市应急避难场所标志》（DB12/330-2007）；</w:t>
      </w:r>
    </w:p>
    <w:p w14:paraId="24355315">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6.《应急避难场所 术语》（GB/T 44012-2024））；</w:t>
      </w:r>
    </w:p>
    <w:p w14:paraId="46225A9F">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7.《应急避难场所 分级及分类》（GB/T 44013-2024）；</w:t>
      </w:r>
    </w:p>
    <w:p w14:paraId="094C6029">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8.《应急避难场所 标志》（GB/T 44014-2024）；</w:t>
      </w:r>
    </w:p>
    <w:p w14:paraId="02D55EC9">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9.《应急避难场所 设施设备及物资配置》（YJ/T 26-2024）。</w:t>
      </w:r>
    </w:p>
    <w:p w14:paraId="4240A49D">
      <w:pPr>
        <w:pStyle w:val="2"/>
        <w:rPr>
          <w:rFonts w:hint="eastAsia" w:ascii="Arial" w:hAnsi="Arial" w:cs="Arial"/>
          <w:bCs w:val="0"/>
          <w:sz w:val="28"/>
          <w:szCs w:val="28"/>
        </w:rPr>
      </w:pPr>
      <w:r>
        <w:rPr>
          <w:rFonts w:hint="eastAsia"/>
        </w:rPr>
        <w:t>四、</w:t>
      </w:r>
      <w:r>
        <w:rPr>
          <w:rFonts w:ascii="Arial" w:hAnsi="Arial" w:cs="Arial"/>
          <w:sz w:val="28"/>
          <w:szCs w:val="28"/>
          <w:lang w:eastAsia="zh-Hans"/>
        </w:rPr>
        <w:t>应急</w:t>
      </w:r>
      <w:r>
        <w:rPr>
          <w:rFonts w:ascii="Arial" w:hAnsi="Arial" w:cs="Arial"/>
          <w:sz w:val="28"/>
          <w:szCs w:val="28"/>
        </w:rPr>
        <w:t>避难场所</w:t>
      </w:r>
      <w:r>
        <w:rPr>
          <w:rFonts w:ascii="Arial" w:hAnsi="Arial" w:cs="Arial"/>
          <w:sz w:val="28"/>
          <w:szCs w:val="28"/>
          <w:lang w:eastAsia="zh-Hans"/>
        </w:rPr>
        <w:t>规划设计方案</w:t>
      </w:r>
    </w:p>
    <w:p w14:paraId="6573F8BE">
      <w:pPr>
        <w:adjustRightInd w:val="0"/>
        <w:snapToGrid w:val="0"/>
        <w:spacing w:line="588" w:lineRule="exact"/>
        <w:ind w:firstLine="640" w:firstLineChars="200"/>
        <w:rPr>
          <w:rFonts w:ascii="Times New Roman" w:hAnsi="Times New Roman" w:eastAsia="仿宋_GB2312" w:cs="仿宋_GB2312"/>
          <w:kern w:val="0"/>
          <w:sz w:val="32"/>
          <w:szCs w:val="32"/>
        </w:rPr>
      </w:pPr>
      <w:bookmarkStart w:id="2" w:name="OLE_LINK5"/>
      <w:bookmarkStart w:id="3" w:name="OLE_LINK4"/>
      <w:r>
        <w:rPr>
          <w:rFonts w:hint="eastAsia" w:ascii="Times New Roman" w:hAnsi="Times New Roman" w:eastAsia="仿宋_GB2312" w:cs="仿宋_GB2312"/>
          <w:kern w:val="0"/>
          <w:sz w:val="32"/>
          <w:szCs w:val="32"/>
        </w:rPr>
        <w:t>（一）避难场所指标确定</w:t>
      </w:r>
    </w:p>
    <w:bookmarkEnd w:id="2"/>
    <w:bookmarkEnd w:id="3"/>
    <w:p w14:paraId="0B5BF637">
      <w:pPr>
        <w:adjustRightInd w:val="0"/>
        <w:snapToGrid w:val="0"/>
        <w:spacing w:line="588" w:lineRule="exact"/>
        <w:ind w:firstLine="640" w:firstLineChars="200"/>
        <w:rPr>
          <w:rFonts w:ascii="Times New Roman" w:hAnsi="Times New Roman" w:eastAsia="仿宋_GB2312" w:cs="仿宋_GB2312"/>
          <w:kern w:val="0"/>
          <w:sz w:val="32"/>
          <w:szCs w:val="32"/>
        </w:rPr>
      </w:pPr>
      <w:r>
        <w:rPr>
          <w:rFonts w:ascii="Times New Roman" w:hAnsi="Times New Roman" w:eastAsia="仿宋_GB2312" w:cs="仿宋_GB2312"/>
          <w:kern w:val="0"/>
          <w:sz w:val="32"/>
          <w:szCs w:val="32"/>
        </w:rPr>
        <w:t>根据</w:t>
      </w:r>
      <w:r>
        <w:rPr>
          <w:rFonts w:hint="eastAsia" w:ascii="Times New Roman" w:hAnsi="Times New Roman" w:eastAsia="仿宋_GB2312" w:cs="仿宋_GB2312"/>
          <w:kern w:val="0"/>
          <w:sz w:val="32"/>
          <w:szCs w:val="32"/>
        </w:rPr>
        <w:t>应急避难场所相关</w:t>
      </w:r>
      <w:r>
        <w:rPr>
          <w:rFonts w:ascii="Times New Roman" w:hAnsi="Times New Roman" w:eastAsia="仿宋_GB2312" w:cs="仿宋_GB2312"/>
          <w:kern w:val="0"/>
          <w:sz w:val="32"/>
          <w:szCs w:val="32"/>
        </w:rPr>
        <w:t>规定</w:t>
      </w:r>
      <w:r>
        <w:rPr>
          <w:rFonts w:hint="eastAsia" w:ascii="Times New Roman" w:hAnsi="Times New Roman" w:eastAsia="仿宋_GB2312" w:cs="仿宋_GB2312"/>
          <w:kern w:val="0"/>
          <w:sz w:val="32"/>
          <w:szCs w:val="32"/>
        </w:rPr>
        <w:t>和场地周边人口分布情况</w:t>
      </w:r>
      <w:r>
        <w:rPr>
          <w:rFonts w:ascii="Times New Roman" w:hAnsi="Times New Roman" w:eastAsia="仿宋_GB2312" w:cs="仿宋_GB2312"/>
          <w:kern w:val="0"/>
          <w:sz w:val="32"/>
          <w:szCs w:val="32"/>
        </w:rPr>
        <w:t>，</w:t>
      </w:r>
      <w:r>
        <w:rPr>
          <w:rFonts w:hint="eastAsia" w:ascii="Times New Roman" w:hAnsi="Times New Roman" w:eastAsia="仿宋_GB2312" w:cs="仿宋_GB2312"/>
          <w:kern w:val="0"/>
          <w:sz w:val="32"/>
          <w:szCs w:val="32"/>
        </w:rPr>
        <w:t>本次短期避难场所避难指标确定如下：</w:t>
      </w:r>
    </w:p>
    <w:tbl>
      <w:tblPr>
        <w:tblStyle w:val="10"/>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2"/>
        <w:gridCol w:w="2835"/>
        <w:gridCol w:w="3685"/>
      </w:tblGrid>
      <w:tr w14:paraId="001A7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trPr>
        <w:tc>
          <w:tcPr>
            <w:tcW w:w="9072" w:type="dxa"/>
            <w:gridSpan w:val="3"/>
          </w:tcPr>
          <w:p w14:paraId="4341065E">
            <w:pPr>
              <w:adjustRightInd w:val="0"/>
              <w:snapToGrid w:val="0"/>
              <w:ind w:firstLine="560" w:firstLineChars="200"/>
              <w:jc w:val="center"/>
              <w:rPr>
                <w:rFonts w:hint="eastAsia" w:ascii="宋体" w:hAnsi="宋体" w:eastAsia="宋体" w:cs="仿宋_GB2312"/>
                <w:bCs/>
                <w:kern w:val="0"/>
                <w:sz w:val="28"/>
                <w:szCs w:val="28"/>
              </w:rPr>
            </w:pPr>
            <w:r>
              <w:rPr>
                <w:rFonts w:hint="eastAsia" w:ascii="宋体" w:hAnsi="宋体" w:eastAsia="宋体" w:cs="仿宋_GB2312"/>
                <w:bCs/>
                <w:kern w:val="0"/>
                <w:sz w:val="28"/>
                <w:szCs w:val="28"/>
              </w:rPr>
              <w:t>蓟州区第四中学避难指标</w:t>
            </w:r>
          </w:p>
        </w:tc>
      </w:tr>
      <w:tr w14:paraId="12CDF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trPr>
        <w:tc>
          <w:tcPr>
            <w:tcW w:w="2552" w:type="dxa"/>
          </w:tcPr>
          <w:p w14:paraId="4728F310">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项目</w:t>
            </w:r>
          </w:p>
        </w:tc>
        <w:tc>
          <w:tcPr>
            <w:tcW w:w="2835" w:type="dxa"/>
          </w:tcPr>
          <w:p w14:paraId="3EB989FA">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规范标准</w:t>
            </w:r>
          </w:p>
        </w:tc>
        <w:tc>
          <w:tcPr>
            <w:tcW w:w="3685" w:type="dxa"/>
          </w:tcPr>
          <w:p w14:paraId="51AE10DF">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本次规划</w:t>
            </w:r>
          </w:p>
        </w:tc>
      </w:tr>
      <w:tr w14:paraId="695EE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Pr>
          <w:p w14:paraId="37D6724D">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避难场所级别</w:t>
            </w:r>
          </w:p>
        </w:tc>
        <w:tc>
          <w:tcPr>
            <w:tcW w:w="2835" w:type="dxa"/>
          </w:tcPr>
          <w:p w14:paraId="6C286F07">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w:t>
            </w:r>
          </w:p>
        </w:tc>
        <w:tc>
          <w:tcPr>
            <w:tcW w:w="3685" w:type="dxa"/>
          </w:tcPr>
          <w:p w14:paraId="56EA02EF">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区级短期避难场所</w:t>
            </w:r>
          </w:p>
        </w:tc>
      </w:tr>
      <w:tr w14:paraId="3C399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52" w:type="dxa"/>
          </w:tcPr>
          <w:p w14:paraId="645173EC">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避难时长/天</w:t>
            </w:r>
          </w:p>
        </w:tc>
        <w:tc>
          <w:tcPr>
            <w:tcW w:w="2835" w:type="dxa"/>
          </w:tcPr>
          <w:p w14:paraId="6CDF66FB">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2-14天</w:t>
            </w:r>
          </w:p>
        </w:tc>
        <w:tc>
          <w:tcPr>
            <w:tcW w:w="3685" w:type="dxa"/>
          </w:tcPr>
          <w:p w14:paraId="6F4E5A41">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2-14天</w:t>
            </w:r>
          </w:p>
        </w:tc>
      </w:tr>
      <w:tr w14:paraId="3AAB1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atLeast"/>
        </w:trPr>
        <w:tc>
          <w:tcPr>
            <w:tcW w:w="2552" w:type="dxa"/>
            <w:vAlign w:val="center"/>
          </w:tcPr>
          <w:p w14:paraId="1BCB13B8">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人均有效避难面积</w:t>
            </w:r>
          </w:p>
        </w:tc>
        <w:tc>
          <w:tcPr>
            <w:tcW w:w="2835" w:type="dxa"/>
            <w:vAlign w:val="center"/>
          </w:tcPr>
          <w:p w14:paraId="4BC6E48B">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室内型：≥2.5㎡/人</w:t>
            </w:r>
          </w:p>
          <w:p w14:paraId="3E2D5E26">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室外型：≥2.0㎡/人</w:t>
            </w:r>
          </w:p>
        </w:tc>
        <w:tc>
          <w:tcPr>
            <w:tcW w:w="3685" w:type="dxa"/>
            <w:vAlign w:val="center"/>
          </w:tcPr>
          <w:p w14:paraId="3631C765">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室内型：3㎡/人</w:t>
            </w:r>
          </w:p>
          <w:p w14:paraId="11EF67C8">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室外型：5㎡/人</w:t>
            </w:r>
          </w:p>
        </w:tc>
      </w:tr>
      <w:tr w14:paraId="3C0A8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trPr>
        <w:tc>
          <w:tcPr>
            <w:tcW w:w="2552" w:type="dxa"/>
            <w:vAlign w:val="center"/>
          </w:tcPr>
          <w:p w14:paraId="3D50A388">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有效避难面积</w:t>
            </w:r>
          </w:p>
        </w:tc>
        <w:tc>
          <w:tcPr>
            <w:tcW w:w="2835" w:type="dxa"/>
            <w:vAlign w:val="center"/>
          </w:tcPr>
          <w:p w14:paraId="3B61A05E">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w:t>
            </w:r>
          </w:p>
        </w:tc>
        <w:tc>
          <w:tcPr>
            <w:tcW w:w="3685" w:type="dxa"/>
            <w:vAlign w:val="center"/>
          </w:tcPr>
          <w:p w14:paraId="409AA95C">
            <w:pPr>
              <w:adjustRightInd w:val="0"/>
              <w:snapToGrid w:val="0"/>
              <w:ind w:firstLine="1400" w:firstLineChars="500"/>
              <w:rPr>
                <w:rFonts w:ascii="宋体" w:hAnsi="宋体" w:eastAsia="宋体" w:cs="仿宋_GB2312"/>
                <w:bCs/>
                <w:kern w:val="0"/>
                <w:sz w:val="28"/>
                <w:szCs w:val="28"/>
              </w:rPr>
            </w:pPr>
            <w:r>
              <w:rPr>
                <w:rFonts w:hint="eastAsia" w:ascii="宋体" w:hAnsi="宋体" w:eastAsia="宋体" w:cs="仿宋_GB2312"/>
                <w:bCs/>
                <w:kern w:val="0"/>
                <w:sz w:val="28"/>
                <w:szCs w:val="28"/>
              </w:rPr>
              <w:t>19600㎡</w:t>
            </w:r>
          </w:p>
          <w:p w14:paraId="1C64AF7A">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（其中室外16000㎡，室内3600㎡）</w:t>
            </w:r>
          </w:p>
        </w:tc>
      </w:tr>
      <w:tr w14:paraId="6948F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trPr>
        <w:tc>
          <w:tcPr>
            <w:tcW w:w="2552" w:type="dxa"/>
            <w:vAlign w:val="center"/>
          </w:tcPr>
          <w:p w14:paraId="387BB883">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可容纳避难人数</w:t>
            </w:r>
          </w:p>
        </w:tc>
        <w:tc>
          <w:tcPr>
            <w:tcW w:w="2835" w:type="dxa"/>
            <w:vAlign w:val="center"/>
          </w:tcPr>
          <w:p w14:paraId="21DA76DC">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w:t>
            </w:r>
          </w:p>
        </w:tc>
        <w:tc>
          <w:tcPr>
            <w:tcW w:w="3685" w:type="dxa"/>
            <w:vAlign w:val="center"/>
          </w:tcPr>
          <w:p w14:paraId="295FC604">
            <w:pPr>
              <w:adjustRightInd w:val="0"/>
              <w:snapToGrid w:val="0"/>
              <w:ind w:firstLine="560" w:firstLineChars="200"/>
              <w:jc w:val="center"/>
              <w:rPr>
                <w:rFonts w:ascii="宋体" w:hAnsi="宋体" w:eastAsia="宋体" w:cs="仿宋_GB2312"/>
                <w:bCs/>
                <w:kern w:val="0"/>
                <w:sz w:val="28"/>
                <w:szCs w:val="28"/>
              </w:rPr>
            </w:pPr>
            <w:r>
              <w:rPr>
                <w:rFonts w:hint="eastAsia" w:ascii="宋体" w:hAnsi="宋体" w:eastAsia="宋体" w:cs="仿宋_GB2312"/>
                <w:bCs/>
                <w:kern w:val="0"/>
                <w:sz w:val="28"/>
                <w:szCs w:val="28"/>
              </w:rPr>
              <w:t>4400人</w:t>
            </w:r>
          </w:p>
          <w:p w14:paraId="043856D1">
            <w:pPr>
              <w:adjustRightInd w:val="0"/>
              <w:snapToGrid w:val="0"/>
              <w:jc w:val="center"/>
              <w:rPr>
                <w:rFonts w:ascii="宋体" w:hAnsi="宋体" w:eastAsia="宋体" w:cs="仿宋_GB2312"/>
                <w:bCs/>
                <w:kern w:val="0"/>
                <w:sz w:val="28"/>
                <w:szCs w:val="28"/>
              </w:rPr>
            </w:pPr>
            <w:r>
              <w:rPr>
                <w:rFonts w:hint="eastAsia" w:ascii="宋体" w:hAnsi="宋体" w:eastAsia="宋体" w:cs="仿宋_GB2312"/>
                <w:bCs/>
                <w:kern w:val="0"/>
                <w:sz w:val="28"/>
                <w:szCs w:val="28"/>
              </w:rPr>
              <w:t>（其中室外3200人，室内1200人）</w:t>
            </w:r>
          </w:p>
        </w:tc>
      </w:tr>
    </w:tbl>
    <w:p w14:paraId="505EFE59">
      <w:pPr>
        <w:adjustRightInd w:val="0"/>
        <w:snapToGrid w:val="0"/>
        <w:rPr>
          <w:rFonts w:ascii="Times New Roman" w:hAnsi="Times New Roman" w:eastAsia="仿宋_GB2312" w:cs="仿宋_GB2312"/>
          <w:kern w:val="0"/>
          <w:sz w:val="32"/>
          <w:szCs w:val="32"/>
        </w:rPr>
      </w:pPr>
      <w:r>
        <w:rPr>
          <w:rFonts w:ascii="Times New Roman" w:hAnsi="Times New Roman" w:eastAsia="仿宋_GB2312" w:cs="仿宋_GB2312"/>
          <w:kern w:val="0"/>
          <w:sz w:val="32"/>
          <w:szCs w:val="32"/>
        </w:rPr>
        <w:drawing>
          <wp:inline distT="0" distB="0" distL="0" distR="0">
            <wp:extent cx="5849620" cy="6096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
                      <a:extLst>
                        <a:ext uri="{28A0092B-C50C-407E-A947-70E740481C1C}">
                          <a14:useLocalDpi xmlns:a14="http://schemas.microsoft.com/office/drawing/2010/main" val="0"/>
                        </a:ext>
                      </a:extLst>
                    </a:blip>
                    <a:srcRect t="5982" r="913" b="9940"/>
                    <a:stretch>
                      <a:fillRect/>
                    </a:stretch>
                  </pic:blipFill>
                  <pic:spPr>
                    <a:xfrm>
                      <a:off x="0" y="0"/>
                      <a:ext cx="5850319" cy="6096524"/>
                    </a:xfrm>
                    <a:prstGeom prst="rect">
                      <a:avLst/>
                    </a:prstGeom>
                    <a:ln>
                      <a:noFill/>
                    </a:ln>
                  </pic:spPr>
                </pic:pic>
              </a:graphicData>
            </a:graphic>
          </wp:inline>
        </w:drawing>
      </w:r>
    </w:p>
    <w:p w14:paraId="33537C8C">
      <w:pPr>
        <w:adjustRightInd w:val="0"/>
        <w:snapToGrid w:val="0"/>
        <w:spacing w:line="588" w:lineRule="exact"/>
        <w:ind w:firstLine="560" w:firstLineChars="200"/>
        <w:jc w:val="center"/>
        <w:rPr>
          <w:rFonts w:ascii="Times New Roman" w:hAnsi="Times New Roman" w:eastAsia="仿宋_GB2312" w:cs="仿宋_GB2312"/>
          <w:kern w:val="0"/>
          <w:sz w:val="32"/>
          <w:szCs w:val="32"/>
        </w:rPr>
      </w:pPr>
      <w:r>
        <w:rPr>
          <w:rFonts w:hint="eastAsia" w:ascii="宋体" w:hAnsi="宋体" w:eastAsia="宋体" w:cs="仿宋_GB2312"/>
          <w:bCs/>
          <w:kern w:val="0"/>
          <w:sz w:val="28"/>
          <w:szCs w:val="28"/>
        </w:rPr>
        <w:t>蓟州区第四中学有效避难面积分析图</w:t>
      </w:r>
    </w:p>
    <w:p w14:paraId="69E0003F">
      <w:pPr>
        <w:adjustRightInd w:val="0"/>
        <w:snapToGrid w:val="0"/>
        <w:spacing w:line="588" w:lineRule="exact"/>
        <w:ind w:firstLine="640" w:firstLineChars="200"/>
        <w:rPr>
          <w:rFonts w:ascii="Times New Roman" w:hAnsi="Times New Roman" w:eastAsia="仿宋_GB2312" w:cs="仿宋_GB2312"/>
          <w:kern w:val="0"/>
          <w:sz w:val="32"/>
          <w:szCs w:val="32"/>
        </w:rPr>
      </w:pPr>
      <w:bookmarkStart w:id="4" w:name="OLE_LINK26"/>
      <w:bookmarkStart w:id="5" w:name="OLE_LINK25"/>
      <w:r>
        <w:rPr>
          <w:rFonts w:hint="eastAsia" w:ascii="Times New Roman" w:hAnsi="Times New Roman" w:eastAsia="仿宋_GB2312" w:cs="仿宋_GB2312"/>
          <w:kern w:val="0"/>
          <w:sz w:val="32"/>
          <w:szCs w:val="32"/>
        </w:rPr>
        <w:t>（二）功能分区划定</w:t>
      </w:r>
    </w:p>
    <w:bookmarkEnd w:id="4"/>
    <w:bookmarkEnd w:id="5"/>
    <w:p w14:paraId="1B3A0118">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根据《应急避难场所 分级及分类》（</w:t>
      </w:r>
      <w:r>
        <w:rPr>
          <w:rFonts w:ascii="Times New Roman" w:hAnsi="Times New Roman" w:eastAsia="仿宋_GB2312" w:cs="仿宋_GB2312"/>
          <w:kern w:val="0"/>
          <w:sz w:val="32"/>
          <w:szCs w:val="32"/>
        </w:rPr>
        <w:t>GB/T 44013-2024</w:t>
      </w:r>
      <w:r>
        <w:rPr>
          <w:rFonts w:hint="eastAsia" w:ascii="Times New Roman" w:hAnsi="Times New Roman" w:eastAsia="仿宋_GB2312" w:cs="仿宋_GB2312"/>
          <w:kern w:val="0"/>
          <w:sz w:val="32"/>
          <w:szCs w:val="32"/>
        </w:rPr>
        <w:t>），短期避难场所应配置应急集散、指挥管理、医疗救治、物资储备、清洁盥洗、垃圾储运、应急停车、应急供电、应急供水、应急消防、应急通风、应急供暖、应急通道、抢修抢建、无障碍、标志标识、应急宿住、防疫隔离、餐饮服务、应急排污、安全保卫等功能需要的应急设施设备和物资，因地制宜增减应急设施设备和物资。本次项目建设结合场地实际情况规划划定应急宿住区、医疗救治区、物资储备区、指挥管理区、应急停车区、应急集散区等功能区，并配置应急供水、应急供电、应急排污、应急消防、垃圾储运、应急供暖、安全保卫、标志标识等设施设备。</w:t>
      </w:r>
    </w:p>
    <w:p w14:paraId="069361BF">
      <w:pPr>
        <w:adjustRightInd w:val="0"/>
        <w:snapToGrid w:val="0"/>
        <w:spacing w:line="588" w:lineRule="exact"/>
        <w:ind w:firstLine="640" w:firstLineChars="200"/>
        <w:rPr>
          <w:rFonts w:hint="eastAsia" w:ascii="Times New Roman" w:hAnsi="Times New Roman" w:eastAsia="仿宋_GB2312" w:cs="仿宋_GB2312"/>
          <w:kern w:val="0"/>
          <w:sz w:val="32"/>
          <w:szCs w:val="32"/>
        </w:rPr>
      </w:pPr>
    </w:p>
    <w:tbl>
      <w:tblPr>
        <w:tblStyle w:val="10"/>
        <w:tblW w:w="90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4"/>
        <w:gridCol w:w="2090"/>
        <w:gridCol w:w="1814"/>
        <w:gridCol w:w="2791"/>
      </w:tblGrid>
      <w:tr w14:paraId="2E996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9059" w:type="dxa"/>
            <w:gridSpan w:val="4"/>
            <w:vAlign w:val="center"/>
          </w:tcPr>
          <w:p w14:paraId="36C28442">
            <w:pPr>
              <w:adjustRightInd w:val="0"/>
              <w:snapToGrid w:val="0"/>
              <w:jc w:val="center"/>
              <w:rPr>
                <w:rFonts w:hint="eastAsia" w:ascii="宋体" w:hAnsi="宋体" w:eastAsia="宋体" w:cs="仿宋_GB2312"/>
                <w:kern w:val="0"/>
                <w:sz w:val="32"/>
                <w:szCs w:val="28"/>
              </w:rPr>
            </w:pPr>
            <w:r>
              <w:rPr>
                <w:rFonts w:hint="eastAsia" w:ascii="宋体" w:hAnsi="宋体" w:eastAsia="宋体" w:cs="仿宋_GB2312"/>
                <w:bCs/>
                <w:kern w:val="0"/>
                <w:sz w:val="32"/>
                <w:szCs w:val="28"/>
              </w:rPr>
              <w:t>蓟州区第四中学功能分区指标表</w:t>
            </w:r>
          </w:p>
        </w:tc>
      </w:tr>
      <w:tr w14:paraId="2CC4A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2365" w:type="dxa"/>
            <w:vAlign w:val="center"/>
          </w:tcPr>
          <w:p w14:paraId="21E853C9">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分区名称</w:t>
            </w:r>
          </w:p>
        </w:tc>
        <w:tc>
          <w:tcPr>
            <w:tcW w:w="3904" w:type="dxa"/>
            <w:gridSpan w:val="2"/>
            <w:vAlign w:val="center"/>
          </w:tcPr>
          <w:p w14:paraId="279ACB62">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规范标准</w:t>
            </w:r>
          </w:p>
        </w:tc>
        <w:tc>
          <w:tcPr>
            <w:tcW w:w="2790" w:type="dxa"/>
            <w:vAlign w:val="center"/>
          </w:tcPr>
          <w:p w14:paraId="0E81E856">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本次规划面积</w:t>
            </w:r>
          </w:p>
        </w:tc>
      </w:tr>
      <w:tr w14:paraId="19486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2365" w:type="dxa"/>
            <w:vAlign w:val="center"/>
          </w:tcPr>
          <w:p w14:paraId="705CC45A">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应急宿住区</w:t>
            </w:r>
          </w:p>
        </w:tc>
        <w:tc>
          <w:tcPr>
            <w:tcW w:w="2090" w:type="dxa"/>
            <w:vAlign w:val="center"/>
          </w:tcPr>
          <w:p w14:paraId="4EB02FA7">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1.5-2㎡/人</w:t>
            </w:r>
          </w:p>
        </w:tc>
        <w:tc>
          <w:tcPr>
            <w:tcW w:w="1813" w:type="dxa"/>
            <w:vAlign w:val="center"/>
          </w:tcPr>
          <w:p w14:paraId="150AC6A1">
            <w:pPr>
              <w:adjustRightInd w:val="0"/>
              <w:snapToGrid w:val="0"/>
              <w:jc w:val="center"/>
              <w:rPr>
                <w:rFonts w:ascii="宋体" w:hAnsi="宋体" w:eastAsia="宋体" w:cs="仿宋_GB2312"/>
                <w:kern w:val="0"/>
                <w:sz w:val="32"/>
                <w:szCs w:val="28"/>
              </w:rPr>
            </w:pPr>
            <w:r>
              <w:rPr>
                <w:rFonts w:ascii="宋体" w:hAnsi="宋体" w:eastAsia="宋体" w:cs="仿宋_GB2312"/>
                <w:kern w:val="0"/>
                <w:sz w:val="32"/>
                <w:szCs w:val="28"/>
              </w:rPr>
              <w:t>88</w:t>
            </w:r>
            <w:r>
              <w:rPr>
                <w:rFonts w:hint="eastAsia" w:ascii="宋体" w:hAnsi="宋体" w:eastAsia="宋体" w:cs="仿宋_GB2312"/>
                <w:kern w:val="0"/>
                <w:sz w:val="32"/>
                <w:szCs w:val="28"/>
              </w:rPr>
              <w:t>00㎡</w:t>
            </w:r>
          </w:p>
        </w:tc>
        <w:tc>
          <w:tcPr>
            <w:tcW w:w="2789" w:type="dxa"/>
            <w:vAlign w:val="center"/>
          </w:tcPr>
          <w:p w14:paraId="1247566C">
            <w:pPr>
              <w:adjustRightInd w:val="0"/>
              <w:snapToGrid w:val="0"/>
              <w:jc w:val="center"/>
              <w:rPr>
                <w:rFonts w:ascii="宋体" w:hAnsi="宋体" w:eastAsia="宋体" w:cs="仿宋_GB2312"/>
                <w:kern w:val="0"/>
                <w:sz w:val="32"/>
                <w:szCs w:val="28"/>
              </w:rPr>
            </w:pPr>
            <w:r>
              <w:rPr>
                <w:rFonts w:ascii="宋体" w:hAnsi="宋体" w:eastAsia="宋体" w:cs="仿宋_GB2312"/>
                <w:kern w:val="0"/>
                <w:sz w:val="32"/>
                <w:szCs w:val="28"/>
              </w:rPr>
              <w:t>160</w:t>
            </w:r>
            <w:r>
              <w:rPr>
                <w:rFonts w:hint="eastAsia" w:ascii="宋体" w:hAnsi="宋体" w:eastAsia="宋体" w:cs="仿宋_GB2312"/>
                <w:kern w:val="0"/>
                <w:sz w:val="32"/>
                <w:szCs w:val="28"/>
              </w:rPr>
              <w:t>00㎡</w:t>
            </w:r>
          </w:p>
        </w:tc>
      </w:tr>
      <w:tr w14:paraId="604E2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2365" w:type="dxa"/>
            <w:vAlign w:val="center"/>
          </w:tcPr>
          <w:p w14:paraId="2322C10D">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医疗救治区</w:t>
            </w:r>
          </w:p>
        </w:tc>
        <w:tc>
          <w:tcPr>
            <w:tcW w:w="2090" w:type="dxa"/>
            <w:vAlign w:val="center"/>
          </w:tcPr>
          <w:p w14:paraId="333C9BD4">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≥0.02㎡/人</w:t>
            </w:r>
          </w:p>
        </w:tc>
        <w:tc>
          <w:tcPr>
            <w:tcW w:w="1813" w:type="dxa"/>
            <w:vAlign w:val="center"/>
          </w:tcPr>
          <w:p w14:paraId="3C0076FF">
            <w:pPr>
              <w:adjustRightInd w:val="0"/>
              <w:snapToGrid w:val="0"/>
              <w:jc w:val="center"/>
              <w:rPr>
                <w:rFonts w:ascii="宋体" w:hAnsi="宋体" w:eastAsia="宋体" w:cs="仿宋_GB2312"/>
                <w:kern w:val="0"/>
                <w:sz w:val="32"/>
                <w:szCs w:val="28"/>
              </w:rPr>
            </w:pPr>
            <w:r>
              <w:rPr>
                <w:rFonts w:ascii="宋体" w:hAnsi="宋体" w:eastAsia="宋体" w:cs="仿宋_GB2312"/>
                <w:kern w:val="0"/>
                <w:sz w:val="32"/>
                <w:szCs w:val="28"/>
              </w:rPr>
              <w:t>88</w:t>
            </w:r>
            <w:r>
              <w:rPr>
                <w:rFonts w:hint="eastAsia" w:ascii="宋体" w:hAnsi="宋体" w:eastAsia="宋体" w:cs="仿宋_GB2312"/>
                <w:kern w:val="0"/>
                <w:sz w:val="32"/>
                <w:szCs w:val="28"/>
              </w:rPr>
              <w:t>㎡</w:t>
            </w:r>
          </w:p>
        </w:tc>
        <w:tc>
          <w:tcPr>
            <w:tcW w:w="2789" w:type="dxa"/>
            <w:vAlign w:val="center"/>
          </w:tcPr>
          <w:p w14:paraId="250054FD">
            <w:pPr>
              <w:adjustRightInd w:val="0"/>
              <w:snapToGrid w:val="0"/>
              <w:jc w:val="center"/>
              <w:rPr>
                <w:rFonts w:ascii="宋体" w:hAnsi="宋体" w:eastAsia="宋体" w:cs="仿宋_GB2312"/>
                <w:kern w:val="0"/>
                <w:sz w:val="32"/>
                <w:szCs w:val="28"/>
              </w:rPr>
            </w:pPr>
            <w:r>
              <w:rPr>
                <w:rFonts w:ascii="宋体" w:hAnsi="宋体" w:eastAsia="宋体" w:cs="仿宋_GB2312"/>
                <w:kern w:val="0"/>
                <w:sz w:val="32"/>
                <w:szCs w:val="28"/>
              </w:rPr>
              <w:t>10</w:t>
            </w:r>
            <w:r>
              <w:rPr>
                <w:rFonts w:hint="eastAsia" w:ascii="宋体" w:hAnsi="宋体" w:eastAsia="宋体" w:cs="仿宋_GB2312"/>
                <w:kern w:val="0"/>
                <w:sz w:val="32"/>
                <w:szCs w:val="28"/>
              </w:rPr>
              <w:t>0㎡</w:t>
            </w:r>
          </w:p>
        </w:tc>
      </w:tr>
      <w:tr w14:paraId="3545E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2365" w:type="dxa"/>
            <w:vAlign w:val="center"/>
          </w:tcPr>
          <w:p w14:paraId="15B057AD">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物资储备区</w:t>
            </w:r>
          </w:p>
        </w:tc>
        <w:tc>
          <w:tcPr>
            <w:tcW w:w="2090" w:type="dxa"/>
            <w:vAlign w:val="center"/>
          </w:tcPr>
          <w:p w14:paraId="03AEC2F6">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≥0.02㎡/人</w:t>
            </w:r>
          </w:p>
        </w:tc>
        <w:tc>
          <w:tcPr>
            <w:tcW w:w="1813" w:type="dxa"/>
            <w:vAlign w:val="center"/>
          </w:tcPr>
          <w:p w14:paraId="414111B7">
            <w:pPr>
              <w:adjustRightInd w:val="0"/>
              <w:snapToGrid w:val="0"/>
              <w:jc w:val="center"/>
              <w:rPr>
                <w:rFonts w:ascii="宋体" w:hAnsi="宋体" w:eastAsia="宋体" w:cs="仿宋_GB2312"/>
                <w:kern w:val="0"/>
                <w:sz w:val="32"/>
                <w:szCs w:val="28"/>
              </w:rPr>
            </w:pPr>
            <w:r>
              <w:rPr>
                <w:rFonts w:ascii="宋体" w:hAnsi="宋体" w:eastAsia="宋体" w:cs="仿宋_GB2312"/>
                <w:kern w:val="0"/>
                <w:sz w:val="32"/>
                <w:szCs w:val="28"/>
              </w:rPr>
              <w:t>88</w:t>
            </w:r>
            <w:r>
              <w:rPr>
                <w:rFonts w:hint="eastAsia" w:ascii="宋体" w:hAnsi="宋体" w:eastAsia="宋体" w:cs="仿宋_GB2312"/>
                <w:kern w:val="0"/>
                <w:sz w:val="32"/>
                <w:szCs w:val="28"/>
              </w:rPr>
              <w:t>㎡</w:t>
            </w:r>
          </w:p>
        </w:tc>
        <w:tc>
          <w:tcPr>
            <w:tcW w:w="2789" w:type="dxa"/>
            <w:vAlign w:val="center"/>
          </w:tcPr>
          <w:p w14:paraId="73D11856">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250㎡</w:t>
            </w:r>
          </w:p>
          <w:p w14:paraId="649B4644">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（其中室内50㎡，室外200㎡空地）</w:t>
            </w:r>
          </w:p>
        </w:tc>
      </w:tr>
      <w:tr w14:paraId="462D3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2365" w:type="dxa"/>
            <w:vAlign w:val="center"/>
          </w:tcPr>
          <w:p w14:paraId="1AC79CDF">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指挥管理区</w:t>
            </w:r>
          </w:p>
        </w:tc>
        <w:tc>
          <w:tcPr>
            <w:tcW w:w="3904" w:type="dxa"/>
            <w:gridSpan w:val="2"/>
            <w:vAlign w:val="center"/>
          </w:tcPr>
          <w:p w14:paraId="2849A3E1">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规范无具体要求，建议50㎡左右用房。</w:t>
            </w:r>
          </w:p>
        </w:tc>
        <w:tc>
          <w:tcPr>
            <w:tcW w:w="2789" w:type="dxa"/>
            <w:vAlign w:val="center"/>
          </w:tcPr>
          <w:p w14:paraId="5E596466">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50㎡</w:t>
            </w:r>
          </w:p>
        </w:tc>
      </w:tr>
      <w:tr w14:paraId="4846B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2365" w:type="dxa"/>
            <w:vAlign w:val="center"/>
          </w:tcPr>
          <w:p w14:paraId="6708D268">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应急停车区</w:t>
            </w:r>
          </w:p>
        </w:tc>
        <w:tc>
          <w:tcPr>
            <w:tcW w:w="3904" w:type="dxa"/>
            <w:gridSpan w:val="2"/>
            <w:vAlign w:val="center"/>
          </w:tcPr>
          <w:p w14:paraId="51D432B3">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场所入口处，小型车25㎡/辆</w:t>
            </w:r>
          </w:p>
        </w:tc>
        <w:tc>
          <w:tcPr>
            <w:tcW w:w="2789" w:type="dxa"/>
            <w:vAlign w:val="center"/>
          </w:tcPr>
          <w:p w14:paraId="7395CE8C">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2</w:t>
            </w:r>
            <w:r>
              <w:rPr>
                <w:rFonts w:ascii="宋体" w:hAnsi="宋体" w:eastAsia="宋体" w:cs="仿宋_GB2312"/>
                <w:kern w:val="0"/>
                <w:sz w:val="32"/>
                <w:szCs w:val="28"/>
              </w:rPr>
              <w:t>40</w:t>
            </w:r>
            <w:r>
              <w:rPr>
                <w:rFonts w:hint="eastAsia" w:ascii="宋体" w:hAnsi="宋体" w:eastAsia="宋体" w:cs="仿宋_GB2312"/>
                <w:kern w:val="0"/>
                <w:sz w:val="32"/>
                <w:szCs w:val="28"/>
              </w:rPr>
              <w:t>0㎡</w:t>
            </w:r>
          </w:p>
        </w:tc>
      </w:tr>
      <w:tr w14:paraId="00412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2365" w:type="dxa"/>
            <w:vAlign w:val="center"/>
          </w:tcPr>
          <w:p w14:paraId="748A34DC">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应急集散区</w:t>
            </w:r>
          </w:p>
        </w:tc>
        <w:tc>
          <w:tcPr>
            <w:tcW w:w="3904" w:type="dxa"/>
            <w:gridSpan w:val="2"/>
            <w:vAlign w:val="center"/>
          </w:tcPr>
          <w:p w14:paraId="33BA73ED">
            <w:pPr>
              <w:adjustRightInd w:val="0"/>
              <w:snapToGrid w:val="0"/>
              <w:jc w:val="center"/>
              <w:rPr>
                <w:rFonts w:hint="eastAsia" w:ascii="宋体" w:hAnsi="宋体" w:eastAsia="宋体" w:cs="仿宋_GB2312"/>
                <w:kern w:val="0"/>
                <w:sz w:val="32"/>
                <w:szCs w:val="28"/>
              </w:rPr>
            </w:pPr>
            <w:r>
              <w:rPr>
                <w:rFonts w:hint="eastAsia" w:ascii="宋体" w:hAnsi="宋体" w:eastAsia="宋体" w:cs="仿宋_GB2312"/>
                <w:kern w:val="0"/>
                <w:sz w:val="32"/>
                <w:szCs w:val="28"/>
              </w:rPr>
              <w:t>——</w:t>
            </w:r>
          </w:p>
        </w:tc>
        <w:tc>
          <w:tcPr>
            <w:tcW w:w="2789" w:type="dxa"/>
            <w:vAlign w:val="center"/>
          </w:tcPr>
          <w:p w14:paraId="147E6B03">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1</w:t>
            </w:r>
            <w:r>
              <w:rPr>
                <w:rFonts w:ascii="宋体" w:hAnsi="宋体" w:eastAsia="宋体" w:cs="仿宋_GB2312"/>
                <w:kern w:val="0"/>
                <w:sz w:val="32"/>
                <w:szCs w:val="28"/>
              </w:rPr>
              <w:t>6</w:t>
            </w:r>
            <w:r>
              <w:rPr>
                <w:rFonts w:hint="eastAsia" w:ascii="宋体" w:hAnsi="宋体" w:eastAsia="宋体" w:cs="仿宋_GB2312"/>
                <w:kern w:val="0"/>
                <w:sz w:val="32"/>
                <w:szCs w:val="28"/>
              </w:rPr>
              <w:t>00㎡</w:t>
            </w:r>
          </w:p>
        </w:tc>
      </w:tr>
      <w:tr w14:paraId="54C26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trPr>
        <w:tc>
          <w:tcPr>
            <w:tcW w:w="9059" w:type="dxa"/>
            <w:gridSpan w:val="4"/>
            <w:vAlign w:val="center"/>
          </w:tcPr>
          <w:p w14:paraId="0805889E">
            <w:pPr>
              <w:adjustRightInd w:val="0"/>
              <w:snapToGrid w:val="0"/>
              <w:jc w:val="center"/>
              <w:rPr>
                <w:rFonts w:ascii="宋体" w:hAnsi="宋体" w:eastAsia="宋体" w:cs="仿宋_GB2312"/>
                <w:kern w:val="0"/>
                <w:sz w:val="32"/>
                <w:szCs w:val="28"/>
              </w:rPr>
            </w:pPr>
            <w:r>
              <w:rPr>
                <w:rFonts w:hint="eastAsia" w:ascii="宋体" w:hAnsi="宋体" w:eastAsia="宋体" w:cs="仿宋_GB2312"/>
                <w:kern w:val="0"/>
                <w:sz w:val="32"/>
                <w:szCs w:val="28"/>
              </w:rPr>
              <w:t>注：以上规范要求指标按总规划避难人数</w:t>
            </w:r>
            <w:r>
              <w:rPr>
                <w:rFonts w:ascii="宋体" w:hAnsi="宋体" w:eastAsia="宋体" w:cs="仿宋_GB2312"/>
                <w:kern w:val="0"/>
                <w:sz w:val="32"/>
                <w:szCs w:val="28"/>
              </w:rPr>
              <w:t>440</w:t>
            </w:r>
            <w:r>
              <w:rPr>
                <w:rFonts w:hint="eastAsia" w:ascii="宋体" w:hAnsi="宋体" w:eastAsia="宋体" w:cs="仿宋_GB2312"/>
                <w:kern w:val="0"/>
                <w:sz w:val="32"/>
                <w:szCs w:val="28"/>
              </w:rPr>
              <w:t>0人计算</w:t>
            </w:r>
          </w:p>
        </w:tc>
      </w:tr>
    </w:tbl>
    <w:p w14:paraId="27EB877D">
      <w:pPr>
        <w:adjustRightInd w:val="0"/>
        <w:snapToGrid w:val="0"/>
        <w:rPr>
          <w:rFonts w:ascii="Times New Roman" w:hAnsi="Times New Roman" w:eastAsia="仿宋_GB2312" w:cs="仿宋_GB2312"/>
          <w:kern w:val="0"/>
          <w:sz w:val="32"/>
          <w:szCs w:val="32"/>
        </w:rPr>
      </w:pPr>
      <w:r>
        <w:rPr>
          <w:rFonts w:ascii="Times New Roman" w:hAnsi="Times New Roman" w:eastAsia="仿宋_GB2312" w:cs="仿宋_GB2312"/>
          <w:kern w:val="0"/>
          <w:sz w:val="32"/>
          <w:szCs w:val="32"/>
        </w:rPr>
        <w:drawing>
          <wp:inline distT="0" distB="0" distL="0" distR="0">
            <wp:extent cx="5873115" cy="66230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
                      <a:extLst>
                        <a:ext uri="{28A0092B-C50C-407E-A947-70E740481C1C}">
                          <a14:useLocalDpi xmlns:a14="http://schemas.microsoft.com/office/drawing/2010/main" val="0"/>
                        </a:ext>
                      </a:extLst>
                    </a:blip>
                    <a:srcRect t="1940" r="521" b="6710"/>
                    <a:stretch>
                      <a:fillRect/>
                    </a:stretch>
                  </pic:blipFill>
                  <pic:spPr>
                    <a:xfrm>
                      <a:off x="0" y="0"/>
                      <a:ext cx="5873504" cy="6623812"/>
                    </a:xfrm>
                    <a:prstGeom prst="rect">
                      <a:avLst/>
                    </a:prstGeom>
                    <a:ln>
                      <a:noFill/>
                    </a:ln>
                  </pic:spPr>
                </pic:pic>
              </a:graphicData>
            </a:graphic>
          </wp:inline>
        </w:drawing>
      </w:r>
    </w:p>
    <w:p w14:paraId="632541EC">
      <w:pPr>
        <w:adjustRightInd w:val="0"/>
        <w:snapToGrid w:val="0"/>
        <w:spacing w:line="588" w:lineRule="exact"/>
        <w:ind w:firstLine="560" w:firstLineChars="200"/>
        <w:jc w:val="center"/>
        <w:rPr>
          <w:rFonts w:ascii="Times New Roman" w:hAnsi="Times New Roman" w:eastAsia="仿宋_GB2312" w:cs="仿宋_GB2312"/>
          <w:kern w:val="0"/>
          <w:sz w:val="32"/>
          <w:szCs w:val="32"/>
        </w:rPr>
      </w:pPr>
      <w:r>
        <w:rPr>
          <w:rFonts w:hint="eastAsia" w:ascii="宋体" w:hAnsi="宋体" w:eastAsia="宋体" w:cs="仿宋_GB2312"/>
          <w:bCs/>
          <w:kern w:val="0"/>
          <w:sz w:val="28"/>
          <w:szCs w:val="28"/>
        </w:rPr>
        <w:t>蓟州区第四中学应急功能分区</w:t>
      </w:r>
      <w:r>
        <w:rPr>
          <w:rFonts w:ascii="宋体" w:hAnsi="宋体" w:eastAsia="宋体" w:cs="仿宋_GB2312"/>
          <w:bCs/>
          <w:kern w:val="0"/>
          <w:sz w:val="28"/>
          <w:szCs w:val="28"/>
        </w:rPr>
        <w:t>规划</w:t>
      </w:r>
      <w:r>
        <w:rPr>
          <w:rFonts w:hint="eastAsia" w:ascii="宋体" w:hAnsi="宋体" w:eastAsia="宋体" w:cs="仿宋_GB2312"/>
          <w:bCs/>
          <w:kern w:val="0"/>
          <w:sz w:val="28"/>
          <w:szCs w:val="28"/>
        </w:rPr>
        <w:t>图</w:t>
      </w:r>
    </w:p>
    <w:p w14:paraId="3BA1DE2F">
      <w:pPr>
        <w:pStyle w:val="24"/>
        <w:numPr>
          <w:ilvl w:val="0"/>
          <w:numId w:val="1"/>
        </w:numPr>
        <w:adjustRightInd w:val="0"/>
        <w:snapToGrid w:val="0"/>
        <w:spacing w:line="588" w:lineRule="exact"/>
        <w:ind w:firstLineChars="0"/>
        <w:rPr>
          <w:rFonts w:ascii="Times New Roman" w:hAnsi="Times New Roman" w:eastAsia="仿宋_GB2312" w:cs="仿宋_GB2312"/>
          <w:b/>
          <w:sz w:val="32"/>
          <w:szCs w:val="32"/>
        </w:rPr>
      </w:pPr>
      <w:r>
        <w:rPr>
          <w:rFonts w:hint="eastAsia" w:ascii="Times New Roman" w:hAnsi="Times New Roman" w:eastAsia="仿宋_GB2312" w:cs="仿宋_GB2312"/>
          <w:b/>
          <w:sz w:val="32"/>
          <w:szCs w:val="32"/>
        </w:rPr>
        <w:t>应急宿住区</w:t>
      </w:r>
    </w:p>
    <w:p w14:paraId="7E619443">
      <w:pPr>
        <w:adjustRightInd w:val="0"/>
        <w:snapToGrid w:val="0"/>
        <w:spacing w:line="588"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规划利用学校教学楼、宿舍楼、运动场等室内外空间作为应急宿住区，其中室内面积</w:t>
      </w:r>
      <w:r>
        <w:rPr>
          <w:rFonts w:ascii="Times New Roman" w:hAnsi="Times New Roman" w:eastAsia="仿宋_GB2312" w:cs="仿宋_GB2312"/>
          <w:sz w:val="32"/>
          <w:szCs w:val="32"/>
        </w:rPr>
        <w:t>3600</w:t>
      </w:r>
      <w:r>
        <w:rPr>
          <w:rFonts w:hint="eastAsia" w:ascii="Times New Roman" w:hAnsi="Times New Roman" w:eastAsia="仿宋_GB2312" w:cs="仿宋_GB2312"/>
          <w:sz w:val="32"/>
          <w:szCs w:val="32"/>
        </w:rPr>
        <w:t>平方米，室外面积1</w:t>
      </w:r>
      <w:r>
        <w:rPr>
          <w:rFonts w:ascii="Times New Roman" w:hAnsi="Times New Roman" w:eastAsia="仿宋_GB2312" w:cs="仿宋_GB2312"/>
          <w:sz w:val="32"/>
          <w:szCs w:val="32"/>
        </w:rPr>
        <w:t>2400</w:t>
      </w:r>
      <w:r>
        <w:rPr>
          <w:rFonts w:hint="eastAsia" w:ascii="Times New Roman" w:hAnsi="Times New Roman" w:eastAsia="仿宋_GB2312" w:cs="仿宋_GB2312"/>
          <w:sz w:val="32"/>
          <w:szCs w:val="32"/>
        </w:rPr>
        <w:t>平方米，共计</w:t>
      </w:r>
      <w:r>
        <w:rPr>
          <w:rFonts w:ascii="Times New Roman" w:hAnsi="Times New Roman" w:eastAsia="仿宋_GB2312" w:cs="仿宋_GB2312"/>
          <w:sz w:val="32"/>
          <w:szCs w:val="32"/>
        </w:rPr>
        <w:t>16000</w:t>
      </w:r>
      <w:r>
        <w:rPr>
          <w:rFonts w:hint="eastAsia" w:ascii="Times New Roman" w:hAnsi="Times New Roman" w:eastAsia="仿宋_GB2312" w:cs="仿宋_GB2312"/>
          <w:sz w:val="32"/>
          <w:szCs w:val="32"/>
        </w:rPr>
        <w:t>平方米。平时按照原有功能使用，避难场所启用时周边居民可在此区域或按指定位置应急宿住、搭建帐篷等，临时居住。</w:t>
      </w:r>
    </w:p>
    <w:p w14:paraId="5E677673">
      <w:pPr>
        <w:adjustRightInd w:val="0"/>
        <w:snapToGrid w:val="0"/>
        <w:spacing w:line="588" w:lineRule="exact"/>
        <w:ind w:firstLine="640" w:firstLineChars="200"/>
        <w:rPr>
          <w:rFonts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规划制作安装相关指示标识，储备1</w:t>
      </w:r>
      <w:r>
        <w:rPr>
          <w:rFonts w:ascii="Times New Roman" w:hAnsi="Times New Roman" w:eastAsia="仿宋_GB2312" w:cs="仿宋_GB2312"/>
          <w:kern w:val="0"/>
          <w:sz w:val="32"/>
          <w:szCs w:val="32"/>
        </w:rPr>
        <w:t>2</w:t>
      </w:r>
      <w:r>
        <w:rPr>
          <w:rFonts w:hint="eastAsia" w:ascii="Times New Roman" w:hAnsi="Times New Roman" w:eastAsia="仿宋_GB2312" w:cs="仿宋_GB2312"/>
          <w:kern w:val="0"/>
          <w:sz w:val="32"/>
          <w:szCs w:val="32"/>
        </w:rPr>
        <w:t>㎡及3</w:t>
      </w:r>
      <w:r>
        <w:rPr>
          <w:rFonts w:ascii="Times New Roman" w:hAnsi="Times New Roman" w:eastAsia="仿宋_GB2312" w:cs="仿宋_GB2312"/>
          <w:kern w:val="0"/>
          <w:sz w:val="32"/>
          <w:szCs w:val="32"/>
        </w:rPr>
        <w:t>6</w:t>
      </w:r>
      <w:r>
        <w:rPr>
          <w:rFonts w:hint="eastAsia" w:ascii="Times New Roman" w:hAnsi="Times New Roman" w:eastAsia="仿宋_GB2312" w:cs="仿宋_GB2312"/>
          <w:kern w:val="0"/>
          <w:sz w:val="32"/>
          <w:szCs w:val="32"/>
        </w:rPr>
        <w:t>㎡单/棉帐篷、接线轴、照明灯、折叠床、棉被褥、棉衣等应急物资，灾时通过搭设帐篷、使用折叠床、棉被褥等为应急避难人员提供应急宿住功能，同时配备防疫消杀等物资。</w:t>
      </w:r>
    </w:p>
    <w:p w14:paraId="1560E024">
      <w:pPr>
        <w:pStyle w:val="24"/>
        <w:numPr>
          <w:ilvl w:val="0"/>
          <w:numId w:val="1"/>
        </w:numPr>
        <w:adjustRightInd w:val="0"/>
        <w:snapToGrid w:val="0"/>
        <w:spacing w:line="588" w:lineRule="exact"/>
        <w:ind w:firstLineChars="0"/>
        <w:rPr>
          <w:rFonts w:ascii="Times New Roman" w:hAnsi="Times New Roman" w:eastAsia="仿宋_GB2312" w:cs="仿宋_GB2312"/>
          <w:b/>
          <w:sz w:val="32"/>
          <w:szCs w:val="32"/>
        </w:rPr>
      </w:pPr>
      <w:r>
        <w:rPr>
          <w:rFonts w:hint="eastAsia" w:ascii="Times New Roman" w:hAnsi="Times New Roman" w:eastAsia="仿宋_GB2312" w:cs="仿宋_GB2312"/>
          <w:b/>
          <w:sz w:val="32"/>
          <w:szCs w:val="32"/>
        </w:rPr>
        <w:t>医疗救治区</w:t>
      </w:r>
    </w:p>
    <w:p w14:paraId="4343EEF2">
      <w:pPr>
        <w:adjustRightInd w:val="0"/>
        <w:snapToGrid w:val="0"/>
        <w:spacing w:line="588"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规划利用学校现有医务室及附属空间，面积约</w:t>
      </w:r>
      <w:r>
        <w:rPr>
          <w:rFonts w:ascii="Times New Roman" w:hAnsi="Times New Roman" w:eastAsia="仿宋_GB2312" w:cs="仿宋_GB2312"/>
          <w:sz w:val="32"/>
          <w:szCs w:val="32"/>
        </w:rPr>
        <w:t>100</w:t>
      </w:r>
      <w:r>
        <w:rPr>
          <w:rFonts w:hint="eastAsia" w:ascii="Times New Roman" w:hAnsi="Times New Roman" w:eastAsia="仿宋_GB2312" w:cs="仿宋_GB2312"/>
          <w:sz w:val="32"/>
          <w:szCs w:val="32"/>
        </w:rPr>
        <w:t>平方米作为医疗救治区。平时按照原有功能使用，避难场所启用时作为临时医疗点用于集中的医疗救援与公共卫生保障，包括快速救治伤员（如止血、固定、分诊转运）、防控传染病传播（通过消毒隔离、卫生监测）、管理慢性病患及特殊群体需求。</w:t>
      </w:r>
    </w:p>
    <w:p w14:paraId="4F6B2F38">
      <w:pPr>
        <w:adjustRightInd w:val="0"/>
        <w:snapToGrid w:val="0"/>
        <w:spacing w:line="588"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kern w:val="0"/>
          <w:sz w:val="32"/>
          <w:szCs w:val="32"/>
        </w:rPr>
        <w:t>规划制作安装相关指示标识，储备应急急救包、消杀器械、除颤仪、医疗垃圾</w:t>
      </w:r>
      <w:r>
        <w:rPr>
          <w:rFonts w:hint="eastAsia" w:ascii="Times New Roman" w:hAnsi="Times New Roman" w:eastAsia="仿宋_GB2312" w:cs="仿宋_GB2312"/>
          <w:sz w:val="32"/>
          <w:szCs w:val="32"/>
        </w:rPr>
        <w:t>桶等医疗物资，为应急避难人员提供简单的医疗救助功能等。</w:t>
      </w:r>
    </w:p>
    <w:p w14:paraId="1A268C1D">
      <w:pPr>
        <w:pStyle w:val="24"/>
        <w:numPr>
          <w:ilvl w:val="0"/>
          <w:numId w:val="1"/>
        </w:numPr>
        <w:adjustRightInd w:val="0"/>
        <w:snapToGrid w:val="0"/>
        <w:spacing w:line="588" w:lineRule="exact"/>
        <w:ind w:firstLineChars="0"/>
        <w:rPr>
          <w:rFonts w:ascii="Times New Roman" w:hAnsi="Times New Roman" w:eastAsia="仿宋_GB2312" w:cs="仿宋_GB2312"/>
          <w:b/>
          <w:sz w:val="32"/>
          <w:szCs w:val="32"/>
        </w:rPr>
      </w:pPr>
      <w:r>
        <w:rPr>
          <w:rFonts w:ascii="Times New Roman" w:hAnsi="Times New Roman" w:eastAsia="仿宋_GB2312" w:cs="仿宋_GB2312"/>
          <w:b/>
          <w:sz w:val="32"/>
          <w:szCs w:val="32"/>
        </w:rPr>
        <w:t>物资储备区</w:t>
      </w:r>
    </w:p>
    <w:p w14:paraId="23857226">
      <w:pPr>
        <w:adjustRightInd w:val="0"/>
        <w:snapToGrid w:val="0"/>
        <w:spacing w:line="588"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规划利用学校操场南侧附属用房及周边空地作为物资储备区，面积约</w:t>
      </w:r>
      <w:r>
        <w:rPr>
          <w:rFonts w:ascii="Times New Roman" w:hAnsi="Times New Roman" w:eastAsia="仿宋_GB2312" w:cs="仿宋_GB2312"/>
          <w:sz w:val="32"/>
          <w:szCs w:val="32"/>
        </w:rPr>
        <w:t>250</w:t>
      </w:r>
      <w:r>
        <w:rPr>
          <w:rFonts w:hint="eastAsia" w:ascii="Times New Roman" w:hAnsi="Times New Roman" w:eastAsia="仿宋_GB2312" w:cs="仿宋_GB2312"/>
          <w:sz w:val="32"/>
          <w:szCs w:val="32"/>
        </w:rPr>
        <w:t>平方米（其中室内50㎡，室外200㎡空地）。</w:t>
      </w:r>
    </w:p>
    <w:p w14:paraId="35D0084C">
      <w:pPr>
        <w:adjustRightInd w:val="0"/>
        <w:snapToGrid w:val="0"/>
        <w:spacing w:line="588" w:lineRule="exact"/>
        <w:ind w:firstLine="640" w:firstLineChars="200"/>
        <w:rPr>
          <w:rFonts w:hint="eastAsia" w:ascii="Times New Roman" w:hAnsi="Times New Roman" w:eastAsia="仿宋_GB2312" w:cs="仿宋_GB2312"/>
          <w:sz w:val="32"/>
          <w:szCs w:val="32"/>
        </w:rPr>
      </w:pPr>
      <w:bookmarkStart w:id="6" w:name="OLE_LINK21"/>
      <w:bookmarkStart w:id="7" w:name="OLE_LINK22"/>
      <w:r>
        <w:rPr>
          <w:rFonts w:hint="eastAsia" w:ascii="Times New Roman" w:hAnsi="Times New Roman" w:eastAsia="仿宋_GB2312" w:cs="仿宋_GB2312"/>
          <w:kern w:val="0"/>
          <w:sz w:val="32"/>
          <w:szCs w:val="32"/>
        </w:rPr>
        <w:t>规划制作安装相关指示标识，其中室内物资储备区用于购置存放应急帐篷、储水袋、照明灯等应急物资，室外物资储备区用于避难场所启用时作为临时调运物资的装卸、存储及物资发放场地</w:t>
      </w:r>
      <w:r>
        <w:rPr>
          <w:rFonts w:hint="eastAsia" w:ascii="Times New Roman" w:hAnsi="Times New Roman" w:eastAsia="仿宋_GB2312" w:cs="仿宋_GB2312"/>
          <w:sz w:val="32"/>
          <w:szCs w:val="32"/>
        </w:rPr>
        <w:t>。</w:t>
      </w:r>
    </w:p>
    <w:bookmarkEnd w:id="6"/>
    <w:bookmarkEnd w:id="7"/>
    <w:p w14:paraId="773ED205">
      <w:pPr>
        <w:pStyle w:val="24"/>
        <w:numPr>
          <w:ilvl w:val="0"/>
          <w:numId w:val="1"/>
        </w:numPr>
        <w:adjustRightInd w:val="0"/>
        <w:snapToGrid w:val="0"/>
        <w:spacing w:line="588" w:lineRule="exact"/>
        <w:ind w:firstLineChars="0"/>
        <w:rPr>
          <w:rFonts w:ascii="Times New Roman" w:hAnsi="Times New Roman" w:eastAsia="仿宋_GB2312" w:cs="仿宋_GB2312"/>
          <w:b/>
          <w:sz w:val="32"/>
          <w:szCs w:val="32"/>
        </w:rPr>
      </w:pPr>
      <w:r>
        <w:rPr>
          <w:rFonts w:ascii="Times New Roman" w:hAnsi="Times New Roman" w:eastAsia="仿宋_GB2312" w:cs="仿宋_GB2312"/>
          <w:b/>
          <w:sz w:val="32"/>
          <w:szCs w:val="32"/>
        </w:rPr>
        <w:t>应急管理区</w:t>
      </w:r>
    </w:p>
    <w:p w14:paraId="6BCA3B44">
      <w:pPr>
        <w:adjustRightInd w:val="0"/>
        <w:snapToGrid w:val="0"/>
        <w:spacing w:line="588" w:lineRule="exact"/>
        <w:ind w:firstLine="640" w:firstLineChars="200"/>
        <w:rPr>
          <w:rFonts w:hint="eastAsia" w:ascii="Times New Roman" w:hAnsi="Times New Roman" w:eastAsia="仿宋_GB2312" w:cs="仿宋_GB2312"/>
          <w:kern w:val="0"/>
          <w:sz w:val="32"/>
          <w:szCs w:val="32"/>
        </w:rPr>
      </w:pPr>
      <w:r>
        <w:rPr>
          <w:rFonts w:hint="eastAsia" w:ascii="Times New Roman" w:hAnsi="Times New Roman" w:eastAsia="仿宋_GB2312" w:cs="仿宋_GB2312"/>
          <w:kern w:val="0"/>
          <w:sz w:val="32"/>
          <w:szCs w:val="32"/>
        </w:rPr>
        <w:t>规划</w:t>
      </w:r>
      <w:r>
        <w:rPr>
          <w:rFonts w:ascii="Times New Roman" w:hAnsi="Times New Roman" w:eastAsia="仿宋_GB2312" w:cs="仿宋_GB2312"/>
          <w:kern w:val="0"/>
          <w:sz w:val="32"/>
          <w:szCs w:val="32"/>
        </w:rPr>
        <w:t>利用</w:t>
      </w:r>
      <w:r>
        <w:rPr>
          <w:rFonts w:hint="eastAsia" w:ascii="Times New Roman" w:hAnsi="Times New Roman" w:eastAsia="仿宋_GB2312" w:cs="仿宋_GB2312"/>
          <w:kern w:val="0"/>
          <w:sz w:val="32"/>
          <w:szCs w:val="32"/>
        </w:rPr>
        <w:t>学校</w:t>
      </w:r>
      <w:r>
        <w:rPr>
          <w:rFonts w:ascii="Times New Roman" w:hAnsi="Times New Roman" w:eastAsia="仿宋_GB2312" w:cs="仿宋_GB2312"/>
          <w:kern w:val="0"/>
          <w:sz w:val="32"/>
          <w:szCs w:val="32"/>
        </w:rPr>
        <w:t>现有</w:t>
      </w:r>
      <w:r>
        <w:rPr>
          <w:rFonts w:hint="eastAsia" w:ascii="Times New Roman" w:hAnsi="Times New Roman" w:eastAsia="仿宋_GB2312" w:cs="仿宋_GB2312"/>
          <w:kern w:val="0"/>
          <w:sz w:val="32"/>
          <w:szCs w:val="32"/>
        </w:rPr>
        <w:t>监控室及其附属用房作为应急指挥管理区，面积约5</w:t>
      </w:r>
      <w:r>
        <w:rPr>
          <w:rFonts w:ascii="Times New Roman" w:hAnsi="Times New Roman" w:eastAsia="仿宋_GB2312" w:cs="仿宋_GB2312"/>
          <w:kern w:val="0"/>
          <w:sz w:val="32"/>
          <w:szCs w:val="32"/>
        </w:rPr>
        <w:t>0</w:t>
      </w:r>
      <w:r>
        <w:rPr>
          <w:rFonts w:hint="eastAsia" w:ascii="Times New Roman" w:hAnsi="Times New Roman" w:eastAsia="仿宋_GB2312" w:cs="仿宋_GB2312"/>
          <w:kern w:val="0"/>
          <w:sz w:val="32"/>
          <w:szCs w:val="32"/>
        </w:rPr>
        <w:t>平方米。学校现有</w:t>
      </w:r>
      <w:r>
        <w:rPr>
          <w:rFonts w:ascii="Times New Roman" w:hAnsi="Times New Roman" w:eastAsia="仿宋_GB2312" w:cs="仿宋_GB2312"/>
          <w:kern w:val="0"/>
          <w:sz w:val="32"/>
          <w:szCs w:val="32"/>
        </w:rPr>
        <w:t>广播系统</w:t>
      </w:r>
      <w:r>
        <w:rPr>
          <w:rFonts w:hint="eastAsia" w:ascii="Times New Roman" w:hAnsi="Times New Roman" w:eastAsia="仿宋_GB2312" w:cs="仿宋_GB2312"/>
          <w:kern w:val="0"/>
          <w:sz w:val="32"/>
          <w:szCs w:val="32"/>
        </w:rPr>
        <w:t>已</w:t>
      </w:r>
      <w:r>
        <w:rPr>
          <w:rFonts w:ascii="Times New Roman" w:hAnsi="Times New Roman" w:eastAsia="仿宋_GB2312" w:cs="仿宋_GB2312"/>
          <w:kern w:val="0"/>
          <w:sz w:val="32"/>
          <w:szCs w:val="32"/>
        </w:rPr>
        <w:t>覆盖</w:t>
      </w:r>
      <w:r>
        <w:rPr>
          <w:rFonts w:hint="eastAsia" w:ascii="Times New Roman" w:hAnsi="Times New Roman" w:eastAsia="仿宋_GB2312" w:cs="仿宋_GB2312"/>
          <w:kern w:val="0"/>
          <w:sz w:val="32"/>
          <w:szCs w:val="32"/>
        </w:rPr>
        <w:t>整个学校，</w:t>
      </w:r>
      <w:r>
        <w:rPr>
          <w:rFonts w:ascii="Times New Roman" w:hAnsi="Times New Roman" w:eastAsia="仿宋_GB2312" w:cs="仿宋_GB2312"/>
          <w:kern w:val="0"/>
          <w:sz w:val="32"/>
          <w:szCs w:val="32"/>
        </w:rPr>
        <w:t>视频监控系统</w:t>
      </w:r>
      <w:r>
        <w:rPr>
          <w:rFonts w:hint="eastAsia" w:ascii="Times New Roman" w:hAnsi="Times New Roman" w:eastAsia="仿宋_GB2312" w:cs="仿宋_GB2312"/>
          <w:kern w:val="0"/>
          <w:sz w:val="32"/>
          <w:szCs w:val="32"/>
        </w:rPr>
        <w:t>已</w:t>
      </w:r>
      <w:r>
        <w:rPr>
          <w:rFonts w:ascii="Times New Roman" w:hAnsi="Times New Roman" w:eastAsia="仿宋_GB2312" w:cs="仿宋_GB2312"/>
          <w:kern w:val="0"/>
          <w:sz w:val="32"/>
          <w:szCs w:val="32"/>
        </w:rPr>
        <w:t>覆盖</w:t>
      </w:r>
      <w:r>
        <w:rPr>
          <w:rFonts w:hint="eastAsia" w:ascii="Times New Roman" w:hAnsi="Times New Roman" w:eastAsia="仿宋_GB2312" w:cs="仿宋_GB2312"/>
          <w:kern w:val="0"/>
          <w:sz w:val="32"/>
          <w:szCs w:val="32"/>
        </w:rPr>
        <w:t>校内</w:t>
      </w:r>
      <w:r>
        <w:rPr>
          <w:rFonts w:ascii="Times New Roman" w:hAnsi="Times New Roman" w:eastAsia="仿宋_GB2312" w:cs="仿宋_GB2312"/>
          <w:kern w:val="0"/>
          <w:sz w:val="32"/>
          <w:szCs w:val="32"/>
        </w:rPr>
        <w:t>的主要通道</w:t>
      </w:r>
      <w:r>
        <w:rPr>
          <w:rFonts w:hint="eastAsia" w:ascii="Times New Roman" w:hAnsi="Times New Roman" w:eastAsia="仿宋_GB2312" w:cs="仿宋_GB2312"/>
          <w:kern w:val="0"/>
          <w:sz w:val="32"/>
          <w:szCs w:val="32"/>
        </w:rPr>
        <w:t>，满足应急指挥及广播监控要求。平时按照原有功能进行使用管理，避难场所启用时转换为应急指挥管理中心，利用其</w:t>
      </w:r>
      <w:r>
        <w:rPr>
          <w:rFonts w:ascii="Times New Roman" w:hAnsi="Times New Roman" w:eastAsia="仿宋_GB2312" w:cs="仿宋_GB2312"/>
          <w:kern w:val="0"/>
          <w:sz w:val="32"/>
          <w:szCs w:val="32"/>
        </w:rPr>
        <w:t>通信设备、网络接口、监控和广播设备</w:t>
      </w:r>
      <w:r>
        <w:rPr>
          <w:rFonts w:hint="eastAsia" w:ascii="Times New Roman" w:hAnsi="Times New Roman" w:eastAsia="仿宋_GB2312" w:cs="仿宋_GB2312"/>
          <w:kern w:val="0"/>
          <w:sz w:val="32"/>
          <w:szCs w:val="32"/>
        </w:rPr>
        <w:t>及其附属区域，为应急指挥和管理人员提供指挥管理的功能。</w:t>
      </w:r>
    </w:p>
    <w:p w14:paraId="64CE846B">
      <w:pPr>
        <w:adjustRightInd w:val="0"/>
        <w:snapToGrid w:val="0"/>
        <w:spacing w:line="588" w:lineRule="exact"/>
        <w:ind w:firstLine="640" w:firstLineChars="200"/>
        <w:rPr>
          <w:rFonts w:hint="eastAsia" w:ascii="Times New Roman" w:hAnsi="Times New Roman" w:eastAsia="仿宋_GB2312" w:cs="仿宋_GB2312"/>
          <w:sz w:val="32"/>
          <w:szCs w:val="32"/>
        </w:rPr>
      </w:pPr>
      <w:r>
        <w:rPr>
          <w:rFonts w:hint="eastAsia" w:ascii="Times New Roman" w:hAnsi="Times New Roman" w:eastAsia="仿宋_GB2312" w:cs="仿宋_GB2312"/>
          <w:kern w:val="0"/>
          <w:sz w:val="32"/>
          <w:szCs w:val="32"/>
        </w:rPr>
        <w:t>规划制作安装相关指示标识，同时储备全频手台、扩音器、应急照明灯、远光手电等应急物资补充完善应急指挥功能。</w:t>
      </w:r>
    </w:p>
    <w:p w14:paraId="7B23EC17">
      <w:pPr>
        <w:pStyle w:val="24"/>
        <w:numPr>
          <w:ilvl w:val="0"/>
          <w:numId w:val="1"/>
        </w:numPr>
        <w:adjustRightInd w:val="0"/>
        <w:snapToGrid w:val="0"/>
        <w:spacing w:line="588" w:lineRule="exact"/>
        <w:ind w:firstLineChars="0"/>
        <w:rPr>
          <w:rFonts w:ascii="Times New Roman" w:hAnsi="Times New Roman" w:eastAsia="仿宋_GB2312" w:cs="仿宋_GB2312"/>
          <w:b/>
          <w:sz w:val="32"/>
          <w:szCs w:val="32"/>
        </w:rPr>
      </w:pPr>
      <w:r>
        <w:rPr>
          <w:rFonts w:ascii="Times New Roman" w:hAnsi="Times New Roman" w:eastAsia="仿宋_GB2312" w:cs="仿宋_GB2312"/>
          <w:b/>
          <w:sz w:val="32"/>
          <w:szCs w:val="32"/>
        </w:rPr>
        <w:t>应急</w:t>
      </w:r>
      <w:r>
        <w:rPr>
          <w:rFonts w:hint="eastAsia" w:ascii="Times New Roman" w:hAnsi="Times New Roman" w:eastAsia="仿宋_GB2312" w:cs="仿宋_GB2312"/>
          <w:b/>
          <w:sz w:val="32"/>
          <w:szCs w:val="32"/>
        </w:rPr>
        <w:t>停车</w:t>
      </w:r>
      <w:r>
        <w:rPr>
          <w:rFonts w:ascii="Times New Roman" w:hAnsi="Times New Roman" w:eastAsia="仿宋_GB2312" w:cs="仿宋_GB2312"/>
          <w:b/>
          <w:sz w:val="32"/>
          <w:szCs w:val="32"/>
        </w:rPr>
        <w:t>区</w:t>
      </w:r>
    </w:p>
    <w:p w14:paraId="6D5BA40E">
      <w:pPr>
        <w:adjustRightInd w:val="0"/>
        <w:snapToGrid w:val="0"/>
        <w:spacing w:line="588" w:lineRule="exact"/>
        <w:ind w:firstLine="640" w:firstLineChars="200"/>
        <w:rPr>
          <w:rFonts w:ascii="Times New Roman" w:hAnsi="Times New Roman" w:eastAsia="仿宋_GB2312" w:cs="仿宋_GB2312"/>
          <w:sz w:val="32"/>
          <w:szCs w:val="32"/>
        </w:rPr>
      </w:pPr>
      <w:bookmarkStart w:id="8" w:name="OLE_LINK24"/>
      <w:bookmarkStart w:id="9" w:name="OLE_LINK23"/>
      <w:r>
        <w:rPr>
          <w:rFonts w:hint="eastAsia" w:ascii="Times New Roman" w:hAnsi="Times New Roman" w:eastAsia="仿宋_GB2312" w:cs="仿宋_GB2312"/>
          <w:kern w:val="0"/>
          <w:sz w:val="32"/>
          <w:szCs w:val="32"/>
        </w:rPr>
        <w:t>规划</w:t>
      </w:r>
      <w:r>
        <w:rPr>
          <w:rFonts w:ascii="Times New Roman" w:hAnsi="Times New Roman" w:eastAsia="仿宋_GB2312" w:cs="仿宋_GB2312"/>
          <w:kern w:val="0"/>
          <w:sz w:val="32"/>
          <w:szCs w:val="32"/>
        </w:rPr>
        <w:t>利用</w:t>
      </w:r>
      <w:r>
        <w:rPr>
          <w:rFonts w:hint="eastAsia" w:ascii="Times New Roman" w:hAnsi="Times New Roman" w:eastAsia="仿宋_GB2312" w:cs="仿宋_GB2312"/>
          <w:kern w:val="0"/>
          <w:sz w:val="32"/>
          <w:szCs w:val="32"/>
        </w:rPr>
        <w:t>学校操场东侧现状停车场作为应急停车区，面积约</w:t>
      </w:r>
      <w:r>
        <w:rPr>
          <w:rFonts w:ascii="Times New Roman" w:hAnsi="Times New Roman" w:eastAsia="仿宋_GB2312" w:cs="仿宋_GB2312"/>
          <w:kern w:val="0"/>
          <w:sz w:val="32"/>
          <w:szCs w:val="32"/>
        </w:rPr>
        <w:t>2400</w:t>
      </w:r>
      <w:r>
        <w:rPr>
          <w:rFonts w:hint="eastAsia" w:ascii="Times New Roman" w:hAnsi="Times New Roman" w:eastAsia="仿宋_GB2312" w:cs="仿宋_GB2312"/>
          <w:kern w:val="0"/>
          <w:sz w:val="32"/>
          <w:szCs w:val="32"/>
        </w:rPr>
        <w:t>平方米。</w:t>
      </w:r>
      <w:r>
        <w:rPr>
          <w:rFonts w:hint="eastAsia" w:ascii="Times New Roman" w:hAnsi="Times New Roman" w:eastAsia="仿宋_GB2312" w:cs="仿宋_GB2312"/>
          <w:sz w:val="32"/>
          <w:szCs w:val="32"/>
        </w:rPr>
        <w:t>平时按照原有功能使用，避难场所启用时用于应急车辆停放。</w:t>
      </w:r>
      <w:r>
        <w:rPr>
          <w:rFonts w:hint="eastAsia" w:ascii="Times New Roman" w:hAnsi="Times New Roman" w:eastAsia="仿宋_GB2312" w:cs="仿宋_GB2312"/>
          <w:kern w:val="0"/>
          <w:sz w:val="32"/>
          <w:szCs w:val="32"/>
        </w:rPr>
        <w:t>规划制作安装相关指示标识。</w:t>
      </w:r>
    </w:p>
    <w:bookmarkEnd w:id="8"/>
    <w:bookmarkEnd w:id="9"/>
    <w:p w14:paraId="58B8493F">
      <w:pPr>
        <w:pStyle w:val="24"/>
        <w:numPr>
          <w:ilvl w:val="0"/>
          <w:numId w:val="1"/>
        </w:numPr>
        <w:adjustRightInd w:val="0"/>
        <w:snapToGrid w:val="0"/>
        <w:spacing w:line="588" w:lineRule="exact"/>
        <w:ind w:firstLineChars="0"/>
        <w:rPr>
          <w:rFonts w:ascii="Times New Roman" w:hAnsi="Times New Roman" w:eastAsia="仿宋_GB2312" w:cs="仿宋_GB2312"/>
          <w:b/>
          <w:sz w:val="32"/>
          <w:szCs w:val="32"/>
        </w:rPr>
      </w:pPr>
      <w:r>
        <w:rPr>
          <w:rFonts w:ascii="Times New Roman" w:hAnsi="Times New Roman" w:eastAsia="仿宋_GB2312" w:cs="仿宋_GB2312"/>
          <w:b/>
          <w:sz w:val="32"/>
          <w:szCs w:val="32"/>
        </w:rPr>
        <w:t>应急</w:t>
      </w:r>
      <w:r>
        <w:rPr>
          <w:rFonts w:hint="eastAsia" w:ascii="Times New Roman" w:hAnsi="Times New Roman" w:eastAsia="仿宋_GB2312" w:cs="仿宋_GB2312"/>
          <w:b/>
          <w:sz w:val="32"/>
          <w:szCs w:val="32"/>
        </w:rPr>
        <w:t>集散</w:t>
      </w:r>
      <w:r>
        <w:rPr>
          <w:rFonts w:ascii="Times New Roman" w:hAnsi="Times New Roman" w:eastAsia="仿宋_GB2312" w:cs="仿宋_GB2312"/>
          <w:b/>
          <w:sz w:val="32"/>
          <w:szCs w:val="32"/>
        </w:rPr>
        <w:t>区</w:t>
      </w:r>
    </w:p>
    <w:p w14:paraId="72D48387">
      <w:pPr>
        <w:adjustRightInd w:val="0"/>
        <w:snapToGrid w:val="0"/>
        <w:spacing w:line="588"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规划</w:t>
      </w:r>
      <w:r>
        <w:rPr>
          <w:rFonts w:ascii="Times New Roman" w:hAnsi="Times New Roman" w:eastAsia="仿宋_GB2312" w:cs="仿宋_GB2312"/>
          <w:sz w:val="32"/>
          <w:szCs w:val="32"/>
        </w:rPr>
        <w:t>利用</w:t>
      </w:r>
      <w:r>
        <w:rPr>
          <w:rFonts w:hint="eastAsia" w:ascii="Times New Roman" w:hAnsi="Times New Roman" w:eastAsia="仿宋_GB2312" w:cs="仿宋_GB2312"/>
          <w:sz w:val="32"/>
          <w:szCs w:val="32"/>
        </w:rPr>
        <w:t>学校教学楼间空地及学校入口广场空间作为应急集散区，面积约</w:t>
      </w:r>
      <w:r>
        <w:rPr>
          <w:rFonts w:ascii="Times New Roman" w:hAnsi="Times New Roman" w:eastAsia="仿宋_GB2312" w:cs="仿宋_GB2312"/>
          <w:sz w:val="32"/>
          <w:szCs w:val="32"/>
        </w:rPr>
        <w:t>1600</w:t>
      </w:r>
      <w:r>
        <w:rPr>
          <w:rFonts w:hint="eastAsia" w:ascii="Times New Roman" w:hAnsi="Times New Roman" w:eastAsia="仿宋_GB2312" w:cs="仿宋_GB2312"/>
          <w:sz w:val="32"/>
          <w:szCs w:val="32"/>
        </w:rPr>
        <w:t>平方米。平时按照原有功能使用，避难场所启用时用于集中避险及疏散转移。规划制作安装相关指示标识。</w:t>
      </w:r>
    </w:p>
    <w:p w14:paraId="14AD0613">
      <w:pPr>
        <w:pStyle w:val="2"/>
        <w:numPr>
          <w:ilvl w:val="0"/>
          <w:numId w:val="2"/>
        </w:numPr>
        <w:rPr>
          <w:rFonts w:hint="eastAsia"/>
        </w:rPr>
      </w:pPr>
      <w:r>
        <w:rPr>
          <w:rFonts w:hint="eastAsia"/>
        </w:rPr>
        <w:t>项目建设估算</w:t>
      </w:r>
    </w:p>
    <w:p w14:paraId="1F758E0F">
      <w:pPr>
        <w:rPr>
          <w:rFonts w:hint="default" w:eastAsiaTheme="minorEastAsia"/>
          <w:lang w:val="en-US" w:eastAsia="zh-CN"/>
        </w:rPr>
      </w:pPr>
      <w:r>
        <w:rPr>
          <w:rFonts w:hint="eastAsia"/>
          <w:lang w:eastAsia="zh-CN"/>
        </w:rPr>
        <w:t>详见附表</w:t>
      </w:r>
      <w:r>
        <w:rPr>
          <w:rFonts w:hint="eastAsia"/>
          <w:lang w:val="en-US" w:eastAsia="zh-CN"/>
        </w:rPr>
        <w:t>1-2</w:t>
      </w:r>
      <w:bookmarkStart w:id="10" w:name="_GoBack"/>
      <w:bookmarkEnd w:id="10"/>
    </w:p>
    <w:p w14:paraId="646CD165">
      <w:pPr>
        <w:rPr>
          <w:rFonts w:hint="eastAsia"/>
        </w:rPr>
      </w:pPr>
    </w:p>
    <w:p w14:paraId="56B7D730">
      <w:pPr>
        <w:autoSpaceDE w:val="0"/>
        <w:autoSpaceDN w:val="0"/>
        <w:adjustRightInd w:val="0"/>
        <w:spacing w:line="300" w:lineRule="auto"/>
        <w:jc w:val="center"/>
        <w:rPr>
          <w:rFonts w:ascii="Arial" w:hAnsi="Arial" w:eastAsia="宋体" w:cs="Arial"/>
          <w:color w:val="000000"/>
          <w:kern w:val="0"/>
          <w:sz w:val="24"/>
          <w:szCs w:val="24"/>
          <w:lang w:eastAsia="zh-Hans"/>
        </w:rPr>
      </w:pPr>
    </w:p>
    <w:sectPr>
      <w:pgSz w:w="11906" w:h="16838"/>
      <w:pgMar w:top="1021" w:right="1304" w:bottom="1021" w:left="130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DengXian">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swiss"/>
    <w:pitch w:val="default"/>
    <w:sig w:usb0="E0002AFF" w:usb1="C0007843" w:usb2="00000009" w:usb3="00000000" w:csb0="400001FF" w:csb1="FFFF0000"/>
  </w:font>
  <w:font w:name="仿宋_GB2312">
    <w:panose1 w:val="02010609030101010101"/>
    <w:charset w:val="86"/>
    <w:family w:val="auto"/>
    <w:pitch w:val="default"/>
    <w:sig w:usb0="00000001" w:usb1="080E0000" w:usb2="00000000" w:usb3="00000000" w:csb0="00040000" w:csb1="00000000"/>
  </w:font>
  <w:font w:name="等线">
    <w:altName w:val="微软雅黑"/>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C080C6"/>
    <w:multiLevelType w:val="singleLevel"/>
    <w:tmpl w:val="B3C080C6"/>
    <w:lvl w:ilvl="0" w:tentative="0">
      <w:start w:val="5"/>
      <w:numFmt w:val="chineseCounting"/>
      <w:suff w:val="nothing"/>
      <w:lvlText w:val="%1、"/>
      <w:lvlJc w:val="left"/>
      <w:rPr>
        <w:rFonts w:hint="eastAsia"/>
      </w:rPr>
    </w:lvl>
  </w:abstractNum>
  <w:abstractNum w:abstractNumId="1">
    <w:nsid w:val="29D932C4"/>
    <w:multiLevelType w:val="multilevel"/>
    <w:tmpl w:val="29D932C4"/>
    <w:lvl w:ilvl="0" w:tentative="0">
      <w:start w:val="1"/>
      <w:numFmt w:val="decimal"/>
      <w:lvlText w:val="%1."/>
      <w:lvlJc w:val="left"/>
      <w:pPr>
        <w:ind w:left="1000" w:hanging="360"/>
      </w:pPr>
      <w:rPr>
        <w:rFonts w:hint="default"/>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6379"/>
    <w:rsid w:val="00036EDB"/>
    <w:rsid w:val="000427C9"/>
    <w:rsid w:val="00043E03"/>
    <w:rsid w:val="00064C47"/>
    <w:rsid w:val="0006545A"/>
    <w:rsid w:val="0007326C"/>
    <w:rsid w:val="00083D77"/>
    <w:rsid w:val="000A2ADC"/>
    <w:rsid w:val="000C5962"/>
    <w:rsid w:val="000D2D2B"/>
    <w:rsid w:val="000D5C4C"/>
    <w:rsid w:val="000D5EA5"/>
    <w:rsid w:val="000E4B9F"/>
    <w:rsid w:val="00111457"/>
    <w:rsid w:val="0011671C"/>
    <w:rsid w:val="00116F71"/>
    <w:rsid w:val="00131732"/>
    <w:rsid w:val="0013325D"/>
    <w:rsid w:val="00145178"/>
    <w:rsid w:val="00152501"/>
    <w:rsid w:val="00157BCC"/>
    <w:rsid w:val="001662CA"/>
    <w:rsid w:val="001678CE"/>
    <w:rsid w:val="001B028A"/>
    <w:rsid w:val="001B79FF"/>
    <w:rsid w:val="001E21AE"/>
    <w:rsid w:val="002046C4"/>
    <w:rsid w:val="0021594E"/>
    <w:rsid w:val="002241C8"/>
    <w:rsid w:val="00231DF8"/>
    <w:rsid w:val="00240973"/>
    <w:rsid w:val="00243CEF"/>
    <w:rsid w:val="002619B5"/>
    <w:rsid w:val="00274CE2"/>
    <w:rsid w:val="0028194F"/>
    <w:rsid w:val="0028695B"/>
    <w:rsid w:val="0029316B"/>
    <w:rsid w:val="002B39E6"/>
    <w:rsid w:val="002C5077"/>
    <w:rsid w:val="002D0B3E"/>
    <w:rsid w:val="002E4977"/>
    <w:rsid w:val="00333F4D"/>
    <w:rsid w:val="0034765D"/>
    <w:rsid w:val="00351477"/>
    <w:rsid w:val="00386F02"/>
    <w:rsid w:val="00392BE6"/>
    <w:rsid w:val="003C425C"/>
    <w:rsid w:val="003F3A00"/>
    <w:rsid w:val="003F7E4D"/>
    <w:rsid w:val="004039C7"/>
    <w:rsid w:val="004150D4"/>
    <w:rsid w:val="00417E03"/>
    <w:rsid w:val="004231BB"/>
    <w:rsid w:val="00434F3D"/>
    <w:rsid w:val="00447C9A"/>
    <w:rsid w:val="00454E9A"/>
    <w:rsid w:val="00473A39"/>
    <w:rsid w:val="004D03D9"/>
    <w:rsid w:val="004E0B33"/>
    <w:rsid w:val="004E4083"/>
    <w:rsid w:val="004F2E34"/>
    <w:rsid w:val="00505F03"/>
    <w:rsid w:val="00506BB9"/>
    <w:rsid w:val="00525700"/>
    <w:rsid w:val="00530D0F"/>
    <w:rsid w:val="00536DF6"/>
    <w:rsid w:val="00541691"/>
    <w:rsid w:val="0057698A"/>
    <w:rsid w:val="00592EC8"/>
    <w:rsid w:val="00594466"/>
    <w:rsid w:val="00595A1C"/>
    <w:rsid w:val="005A5B9C"/>
    <w:rsid w:val="005D1A7F"/>
    <w:rsid w:val="005D6A1A"/>
    <w:rsid w:val="005F1CA0"/>
    <w:rsid w:val="00624367"/>
    <w:rsid w:val="00632272"/>
    <w:rsid w:val="00671528"/>
    <w:rsid w:val="00691027"/>
    <w:rsid w:val="00691BEC"/>
    <w:rsid w:val="006C2122"/>
    <w:rsid w:val="006E0C5C"/>
    <w:rsid w:val="007016AA"/>
    <w:rsid w:val="00726B03"/>
    <w:rsid w:val="007560B2"/>
    <w:rsid w:val="00762743"/>
    <w:rsid w:val="00764B8F"/>
    <w:rsid w:val="00777604"/>
    <w:rsid w:val="007849DB"/>
    <w:rsid w:val="00793664"/>
    <w:rsid w:val="007B3C10"/>
    <w:rsid w:val="007B3C2B"/>
    <w:rsid w:val="007C6B61"/>
    <w:rsid w:val="007E2128"/>
    <w:rsid w:val="007F4A6D"/>
    <w:rsid w:val="00817DF3"/>
    <w:rsid w:val="00821672"/>
    <w:rsid w:val="00851CAA"/>
    <w:rsid w:val="00856379"/>
    <w:rsid w:val="008575B5"/>
    <w:rsid w:val="00890669"/>
    <w:rsid w:val="00897CE0"/>
    <w:rsid w:val="008A72D3"/>
    <w:rsid w:val="008F0730"/>
    <w:rsid w:val="00923738"/>
    <w:rsid w:val="009301ED"/>
    <w:rsid w:val="00944D1B"/>
    <w:rsid w:val="00952C1F"/>
    <w:rsid w:val="009719E6"/>
    <w:rsid w:val="009729CF"/>
    <w:rsid w:val="009752E0"/>
    <w:rsid w:val="00975655"/>
    <w:rsid w:val="00976A68"/>
    <w:rsid w:val="00992C66"/>
    <w:rsid w:val="009C7D7C"/>
    <w:rsid w:val="009E06E4"/>
    <w:rsid w:val="00A2078D"/>
    <w:rsid w:val="00A20860"/>
    <w:rsid w:val="00A2648E"/>
    <w:rsid w:val="00A67FA7"/>
    <w:rsid w:val="00AA6EBB"/>
    <w:rsid w:val="00AC2C36"/>
    <w:rsid w:val="00AC5522"/>
    <w:rsid w:val="00AF2A1D"/>
    <w:rsid w:val="00B057CA"/>
    <w:rsid w:val="00B127D8"/>
    <w:rsid w:val="00B13864"/>
    <w:rsid w:val="00B21E57"/>
    <w:rsid w:val="00B225F1"/>
    <w:rsid w:val="00B2777E"/>
    <w:rsid w:val="00B27818"/>
    <w:rsid w:val="00B31E74"/>
    <w:rsid w:val="00B51848"/>
    <w:rsid w:val="00B700C6"/>
    <w:rsid w:val="00B71052"/>
    <w:rsid w:val="00B8692F"/>
    <w:rsid w:val="00BD5673"/>
    <w:rsid w:val="00C11B50"/>
    <w:rsid w:val="00C31B6C"/>
    <w:rsid w:val="00C60DEB"/>
    <w:rsid w:val="00C8097C"/>
    <w:rsid w:val="00C8387C"/>
    <w:rsid w:val="00CA5D1A"/>
    <w:rsid w:val="00CC498B"/>
    <w:rsid w:val="00CD4628"/>
    <w:rsid w:val="00CE0AAF"/>
    <w:rsid w:val="00D04220"/>
    <w:rsid w:val="00D17501"/>
    <w:rsid w:val="00D428BD"/>
    <w:rsid w:val="00D55569"/>
    <w:rsid w:val="00D852CB"/>
    <w:rsid w:val="00D8623C"/>
    <w:rsid w:val="00DB2CD5"/>
    <w:rsid w:val="00DC2622"/>
    <w:rsid w:val="00DC67FA"/>
    <w:rsid w:val="00DE0875"/>
    <w:rsid w:val="00E13C63"/>
    <w:rsid w:val="00E35DBC"/>
    <w:rsid w:val="00E60E6A"/>
    <w:rsid w:val="00E72728"/>
    <w:rsid w:val="00E84F90"/>
    <w:rsid w:val="00E86F26"/>
    <w:rsid w:val="00E927A9"/>
    <w:rsid w:val="00E941B4"/>
    <w:rsid w:val="00EA4CB2"/>
    <w:rsid w:val="00EC1686"/>
    <w:rsid w:val="00ED0C52"/>
    <w:rsid w:val="00EE6210"/>
    <w:rsid w:val="00EE6CA4"/>
    <w:rsid w:val="00F159C5"/>
    <w:rsid w:val="00F76236"/>
    <w:rsid w:val="00F8538F"/>
    <w:rsid w:val="00F87F8B"/>
    <w:rsid w:val="00FD6DB5"/>
    <w:rsid w:val="07043500"/>
    <w:rsid w:val="2FB226D5"/>
    <w:rsid w:val="2FF58CF5"/>
    <w:rsid w:val="346B32EE"/>
    <w:rsid w:val="3BCF6755"/>
    <w:rsid w:val="4F3B2B0B"/>
    <w:rsid w:val="53070A8C"/>
    <w:rsid w:val="551F1098"/>
    <w:rsid w:val="5FBBA0AB"/>
    <w:rsid w:val="66AA03D9"/>
    <w:rsid w:val="69732C3F"/>
    <w:rsid w:val="6BDE49F8"/>
    <w:rsid w:val="6BFDB562"/>
    <w:rsid w:val="6EEDABA3"/>
    <w:rsid w:val="6FBE9D1B"/>
    <w:rsid w:val="72FBF5A9"/>
    <w:rsid w:val="7ED22344"/>
    <w:rsid w:val="AA5F903D"/>
    <w:rsid w:val="AB9D6A29"/>
    <w:rsid w:val="AE5F3F7F"/>
    <w:rsid w:val="AFBF000E"/>
    <w:rsid w:val="B6F22181"/>
    <w:rsid w:val="D6F1B31A"/>
    <w:rsid w:val="DBB323ED"/>
    <w:rsid w:val="DF6F154D"/>
    <w:rsid w:val="DFDC7E6B"/>
    <w:rsid w:val="DFFF485F"/>
    <w:rsid w:val="ECFDC11D"/>
    <w:rsid w:val="ED7E41C1"/>
    <w:rsid w:val="EFFBB249"/>
    <w:rsid w:val="EFFE661C"/>
    <w:rsid w:val="EFFF4457"/>
    <w:rsid w:val="FD13709B"/>
    <w:rsid w:val="FFBF0EA7"/>
    <w:rsid w:val="FFFF38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5"/>
    <w:qFormat/>
    <w:uiPriority w:val="9"/>
    <w:pPr>
      <w:keepNext/>
      <w:keepLines/>
      <w:adjustRightInd w:val="0"/>
      <w:snapToGrid w:val="0"/>
      <w:spacing w:before="240" w:after="60" w:line="360" w:lineRule="auto"/>
      <w:outlineLvl w:val="0"/>
    </w:pPr>
    <w:rPr>
      <w:rFonts w:eastAsia="宋体"/>
      <w:b/>
      <w:bCs/>
      <w:kern w:val="44"/>
      <w:sz w:val="30"/>
      <w:szCs w:val="44"/>
    </w:rPr>
  </w:style>
  <w:style w:type="character" w:default="1" w:styleId="11">
    <w:name w:val="Default Paragraph Font"/>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16"/>
    <w:unhideWhenUsed/>
    <w:qFormat/>
    <w:uiPriority w:val="99"/>
    <w:pPr>
      <w:jc w:val="left"/>
    </w:pPr>
  </w:style>
  <w:style w:type="paragraph" w:styleId="4">
    <w:name w:val="Balloon Text"/>
    <w:basedOn w:val="1"/>
    <w:link w:val="17"/>
    <w:unhideWhenUsed/>
    <w:qFormat/>
    <w:uiPriority w:val="99"/>
    <w:rPr>
      <w:sz w:val="18"/>
      <w:szCs w:val="18"/>
    </w:rPr>
  </w:style>
  <w:style w:type="paragraph" w:styleId="5">
    <w:name w:val="footer"/>
    <w:basedOn w:val="1"/>
    <w:link w:val="18"/>
    <w:unhideWhenUsed/>
    <w:qFormat/>
    <w:uiPriority w:val="99"/>
    <w:pPr>
      <w:tabs>
        <w:tab w:val="center" w:pos="4153"/>
        <w:tab w:val="right" w:pos="8306"/>
      </w:tabs>
      <w:snapToGrid w:val="0"/>
      <w:jc w:val="left"/>
    </w:pPr>
    <w:rPr>
      <w:sz w:val="18"/>
      <w:szCs w:val="18"/>
    </w:rPr>
  </w:style>
  <w:style w:type="paragraph" w:styleId="6">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unhideWhenUsed/>
    <w:qFormat/>
    <w:uiPriority w:val="99"/>
    <w:pPr>
      <w:spacing w:beforeAutospacing="1" w:afterAutospacing="1"/>
      <w:jc w:val="left"/>
    </w:pPr>
    <w:rPr>
      <w:rFonts w:cs="Times New Roman"/>
      <w:kern w:val="0"/>
      <w:sz w:val="24"/>
    </w:rPr>
  </w:style>
  <w:style w:type="paragraph" w:styleId="8">
    <w:name w:val="annotation subject"/>
    <w:basedOn w:val="3"/>
    <w:next w:val="3"/>
    <w:link w:val="20"/>
    <w:unhideWhenUsed/>
    <w:qFormat/>
    <w:uiPriority w:val="99"/>
    <w:rPr>
      <w:b/>
      <w:bCs/>
    </w:r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llowedHyperlink"/>
    <w:basedOn w:val="11"/>
    <w:semiHidden/>
    <w:unhideWhenUsed/>
    <w:uiPriority w:val="99"/>
    <w:rPr>
      <w:color w:val="800080"/>
      <w:u w:val="single"/>
    </w:rPr>
  </w:style>
  <w:style w:type="character" w:styleId="13">
    <w:name w:val="Hyperlink"/>
    <w:basedOn w:val="11"/>
    <w:unhideWhenUsed/>
    <w:qFormat/>
    <w:uiPriority w:val="99"/>
    <w:rPr>
      <w:color w:val="0000FF"/>
      <w:u w:val="single"/>
    </w:rPr>
  </w:style>
  <w:style w:type="character" w:styleId="14">
    <w:name w:val="annotation reference"/>
    <w:basedOn w:val="11"/>
    <w:unhideWhenUsed/>
    <w:qFormat/>
    <w:uiPriority w:val="99"/>
    <w:rPr>
      <w:sz w:val="21"/>
      <w:szCs w:val="21"/>
    </w:rPr>
  </w:style>
  <w:style w:type="character" w:customStyle="1" w:styleId="15">
    <w:name w:val="标题 1 字符"/>
    <w:basedOn w:val="11"/>
    <w:link w:val="2"/>
    <w:uiPriority w:val="9"/>
    <w:rPr>
      <w:rFonts w:asciiTheme="minorHAnsi" w:hAnsiTheme="minorHAnsi" w:cstheme="minorBidi"/>
      <w:b/>
      <w:bCs/>
      <w:kern w:val="44"/>
      <w:sz w:val="30"/>
      <w:szCs w:val="44"/>
    </w:rPr>
  </w:style>
  <w:style w:type="character" w:customStyle="1" w:styleId="16">
    <w:name w:val="批注文字 字符"/>
    <w:basedOn w:val="11"/>
    <w:link w:val="3"/>
    <w:semiHidden/>
    <w:qFormat/>
    <w:uiPriority w:val="99"/>
  </w:style>
  <w:style w:type="character" w:customStyle="1" w:styleId="17">
    <w:name w:val="批注框文本 字符"/>
    <w:basedOn w:val="11"/>
    <w:link w:val="4"/>
    <w:semiHidden/>
    <w:qFormat/>
    <w:uiPriority w:val="99"/>
    <w:rPr>
      <w:sz w:val="18"/>
      <w:szCs w:val="18"/>
    </w:rPr>
  </w:style>
  <w:style w:type="character" w:customStyle="1" w:styleId="18">
    <w:name w:val="页脚 字符"/>
    <w:basedOn w:val="11"/>
    <w:link w:val="5"/>
    <w:qFormat/>
    <w:uiPriority w:val="99"/>
    <w:rPr>
      <w:sz w:val="18"/>
      <w:szCs w:val="18"/>
    </w:rPr>
  </w:style>
  <w:style w:type="character" w:customStyle="1" w:styleId="19">
    <w:name w:val="页眉 字符"/>
    <w:basedOn w:val="11"/>
    <w:link w:val="6"/>
    <w:qFormat/>
    <w:uiPriority w:val="99"/>
    <w:rPr>
      <w:sz w:val="18"/>
      <w:szCs w:val="18"/>
    </w:rPr>
  </w:style>
  <w:style w:type="character" w:customStyle="1" w:styleId="20">
    <w:name w:val="批注主题 字符"/>
    <w:basedOn w:val="16"/>
    <w:link w:val="8"/>
    <w:semiHidden/>
    <w:qFormat/>
    <w:uiPriority w:val="99"/>
    <w:rPr>
      <w:b/>
      <w:bCs/>
    </w:rPr>
  </w:style>
  <w:style w:type="paragraph" w:customStyle="1" w:styleId="21">
    <w:name w:val="列表段落1"/>
    <w:basedOn w:val="1"/>
    <w:qFormat/>
    <w:uiPriority w:val="34"/>
    <w:pPr>
      <w:ind w:firstLine="420" w:firstLineChars="200"/>
    </w:pPr>
  </w:style>
  <w:style w:type="character" w:customStyle="1" w:styleId="22">
    <w:name w:val="font51"/>
    <w:basedOn w:val="11"/>
    <w:qFormat/>
    <w:uiPriority w:val="0"/>
    <w:rPr>
      <w:rFonts w:hint="eastAsia" w:ascii="宋体" w:hAnsi="宋体" w:eastAsia="宋体" w:cs="宋体"/>
      <w:b/>
      <w:color w:val="000000"/>
      <w:sz w:val="18"/>
      <w:szCs w:val="18"/>
      <w:u w:val="none"/>
    </w:rPr>
  </w:style>
  <w:style w:type="paragraph" w:customStyle="1" w:styleId="23">
    <w:name w:val="Other|1"/>
    <w:basedOn w:val="1"/>
    <w:qFormat/>
    <w:uiPriority w:val="0"/>
    <w:rPr>
      <w:rFonts w:ascii="宋体" w:hAnsi="宋体" w:eastAsia="宋体" w:cs="宋体"/>
      <w:sz w:val="16"/>
      <w:szCs w:val="16"/>
      <w:lang w:val="zh-TW" w:eastAsia="zh-TW" w:bidi="zh-TW"/>
    </w:rPr>
  </w:style>
  <w:style w:type="paragraph" w:styleId="24">
    <w:name w:val="List Paragraph"/>
    <w:basedOn w:val="1"/>
    <w:qFormat/>
    <w:uiPriority w:val="34"/>
    <w:pPr>
      <w:widowControl/>
      <w:ind w:firstLine="420" w:firstLineChars="200"/>
      <w:jc w:val="left"/>
    </w:pPr>
    <w:rPr>
      <w:rFonts w:ascii="宋体" w:hAnsi="宋体" w:eastAsia="宋体" w:cs="宋体"/>
      <w:kern w:val="0"/>
      <w:sz w:val="24"/>
      <w:szCs w:val="24"/>
    </w:rPr>
  </w:style>
  <w:style w:type="paragraph" w:customStyle="1" w:styleId="25">
    <w:name w:val="msonormal"/>
    <w:basedOn w:val="1"/>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6">
    <w:name w:val="font5"/>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27">
    <w:name w:val="xl65"/>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2"/>
      <w:szCs w:val="12"/>
    </w:rPr>
  </w:style>
  <w:style w:type="paragraph" w:customStyle="1" w:styleId="28">
    <w:name w:val="xl6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8"/>
      <w:szCs w:val="18"/>
    </w:rPr>
  </w:style>
  <w:style w:type="paragraph" w:customStyle="1" w:styleId="29">
    <w:name w:val="xl67"/>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color w:val="000000"/>
      <w:kern w:val="0"/>
      <w:sz w:val="12"/>
      <w:szCs w:val="12"/>
    </w:rPr>
  </w:style>
  <w:style w:type="paragraph" w:customStyle="1" w:styleId="30">
    <w:name w:val="xl68"/>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微软雅黑" w:hAnsi="微软雅黑" w:eastAsia="微软雅黑" w:cs="宋体"/>
      <w:kern w:val="0"/>
      <w:sz w:val="16"/>
      <w:szCs w:val="16"/>
    </w:rPr>
  </w:style>
  <w:style w:type="paragraph" w:customStyle="1" w:styleId="31">
    <w:name w:val="xl6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6"/>
      <w:szCs w:val="16"/>
    </w:rPr>
  </w:style>
  <w:style w:type="paragraph" w:customStyle="1" w:styleId="32">
    <w:name w:val="xl70"/>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微软雅黑" w:hAnsi="微软雅黑" w:eastAsia="微软雅黑" w:cs="宋体"/>
      <w:kern w:val="0"/>
      <w:sz w:val="16"/>
      <w:szCs w:val="16"/>
    </w:rPr>
  </w:style>
  <w:style w:type="paragraph" w:customStyle="1" w:styleId="33">
    <w:name w:val="xl71"/>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34">
    <w:name w:val="xl72"/>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6"/>
      <w:szCs w:val="16"/>
    </w:rPr>
  </w:style>
  <w:style w:type="paragraph" w:customStyle="1" w:styleId="35">
    <w:name w:val="xl7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微软雅黑" w:hAnsi="微软雅黑" w:eastAsia="微软雅黑" w:cs="宋体"/>
      <w:kern w:val="0"/>
      <w:sz w:val="16"/>
      <w:szCs w:val="16"/>
    </w:rPr>
  </w:style>
  <w:style w:type="paragraph" w:customStyle="1" w:styleId="36">
    <w:name w:val="xl7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37">
    <w:name w:val="xl75"/>
    <w:basedOn w:val="1"/>
    <w:uiPriority w:val="0"/>
    <w:pPr>
      <w:widowControl/>
      <w:spacing w:before="100" w:beforeAutospacing="1" w:after="100" w:afterAutospacing="1"/>
      <w:jc w:val="left"/>
    </w:pPr>
    <w:rPr>
      <w:rFonts w:ascii="宋体" w:hAnsi="宋体" w:eastAsia="宋体" w:cs="宋体"/>
      <w:kern w:val="0"/>
      <w:sz w:val="16"/>
      <w:szCs w:val="16"/>
    </w:rPr>
  </w:style>
  <w:style w:type="paragraph" w:customStyle="1" w:styleId="38">
    <w:name w:val="xl76"/>
    <w:basedOn w:val="1"/>
    <w:uiPriority w:val="0"/>
    <w:pPr>
      <w:widowControl/>
      <w:pBdr>
        <w:top w:val="single" w:color="auto" w:sz="4" w:space="0"/>
        <w:left w:val="single" w:color="auto" w:sz="4" w:space="0"/>
        <w:bottom w:val="single" w:color="auto" w:sz="4" w:space="0"/>
        <w:right w:val="single" w:color="auto" w:sz="4" w:space="0"/>
      </w:pBdr>
      <w:shd w:val="clear" w:color="000000" w:fill="FFF2CC"/>
      <w:spacing w:before="100" w:beforeAutospacing="1" w:after="100" w:afterAutospacing="1"/>
      <w:jc w:val="center"/>
    </w:pPr>
    <w:rPr>
      <w:rFonts w:ascii="微软雅黑" w:hAnsi="微软雅黑" w:eastAsia="微软雅黑" w:cs="宋体"/>
      <w:kern w:val="0"/>
      <w:sz w:val="16"/>
      <w:szCs w:val="16"/>
    </w:rPr>
  </w:style>
  <w:style w:type="paragraph" w:customStyle="1" w:styleId="39">
    <w:name w:val="xl77"/>
    <w:basedOn w:val="1"/>
    <w:uiPriority w:val="0"/>
    <w:pPr>
      <w:widowControl/>
      <w:pBdr>
        <w:top w:val="single" w:color="auto" w:sz="4" w:space="0"/>
        <w:left w:val="single" w:color="auto" w:sz="4" w:space="0"/>
        <w:bottom w:val="single" w:color="auto" w:sz="4" w:space="0"/>
        <w:right w:val="single" w:color="auto" w:sz="4" w:space="0"/>
      </w:pBdr>
      <w:shd w:val="clear" w:color="000000" w:fill="DDEBF7"/>
      <w:spacing w:before="100" w:beforeAutospacing="1" w:after="100" w:afterAutospacing="1"/>
      <w:jc w:val="center"/>
    </w:pPr>
    <w:rPr>
      <w:rFonts w:ascii="微软雅黑" w:hAnsi="微软雅黑" w:eastAsia="微软雅黑" w:cs="宋体"/>
      <w:kern w:val="0"/>
      <w:sz w:val="16"/>
      <w:szCs w:val="16"/>
    </w:rPr>
  </w:style>
  <w:style w:type="paragraph" w:customStyle="1" w:styleId="40">
    <w:name w:val="xl78"/>
    <w:basedOn w:val="1"/>
    <w:uiPriority w:val="0"/>
    <w:pPr>
      <w:widowControl/>
      <w:pBdr>
        <w:top w:val="single" w:color="auto" w:sz="4" w:space="0"/>
        <w:left w:val="single" w:color="auto" w:sz="4" w:space="0"/>
        <w:bottom w:val="single" w:color="auto" w:sz="4" w:space="0"/>
        <w:right w:val="single" w:color="auto" w:sz="4" w:space="0"/>
      </w:pBdr>
      <w:shd w:val="clear" w:color="000000" w:fill="E2EFDA"/>
      <w:spacing w:before="100" w:beforeAutospacing="1" w:after="100" w:afterAutospacing="1"/>
      <w:jc w:val="center"/>
    </w:pPr>
    <w:rPr>
      <w:rFonts w:ascii="微软雅黑" w:hAnsi="微软雅黑" w:eastAsia="微软雅黑" w:cs="宋体"/>
      <w:kern w:val="0"/>
      <w:sz w:val="16"/>
      <w:szCs w:val="16"/>
    </w:rPr>
  </w:style>
  <w:style w:type="paragraph" w:customStyle="1" w:styleId="41">
    <w:name w:val="xl79"/>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6"/>
      <w:szCs w:val="16"/>
    </w:rPr>
  </w:style>
  <w:style w:type="paragraph" w:customStyle="1" w:styleId="42">
    <w:name w:val="xl80"/>
    <w:basedOn w:val="1"/>
    <w:uiPriority w:val="0"/>
    <w:pPr>
      <w:widowControl/>
      <w:pBdr>
        <w:top w:val="single" w:color="auto" w:sz="4" w:space="0"/>
        <w:left w:val="single" w:color="auto" w:sz="4" w:space="0"/>
        <w:bottom w:val="single" w:color="auto" w:sz="4" w:space="0"/>
        <w:right w:val="single" w:color="auto" w:sz="4" w:space="0"/>
      </w:pBdr>
      <w:shd w:val="clear" w:color="000000" w:fill="DDEBF7"/>
      <w:spacing w:before="100" w:beforeAutospacing="1" w:after="100" w:afterAutospacing="1"/>
      <w:jc w:val="center"/>
    </w:pPr>
    <w:rPr>
      <w:rFonts w:ascii="微软雅黑" w:hAnsi="微软雅黑" w:eastAsia="微软雅黑" w:cs="宋体"/>
      <w:kern w:val="0"/>
      <w:sz w:val="16"/>
      <w:szCs w:val="16"/>
    </w:rPr>
  </w:style>
  <w:style w:type="paragraph" w:customStyle="1" w:styleId="43">
    <w:name w:val="xl81"/>
    <w:basedOn w:val="1"/>
    <w:uiPriority w:val="0"/>
    <w:pPr>
      <w:widowControl/>
      <w:pBdr>
        <w:top w:val="single" w:color="auto" w:sz="4" w:space="0"/>
        <w:left w:val="single" w:color="auto" w:sz="4" w:space="0"/>
        <w:bottom w:val="single" w:color="auto" w:sz="4" w:space="0"/>
        <w:right w:val="single" w:color="auto" w:sz="4" w:space="0"/>
      </w:pBdr>
      <w:shd w:val="clear" w:color="000000" w:fill="FFF2CC"/>
      <w:spacing w:before="100" w:beforeAutospacing="1" w:after="100" w:afterAutospacing="1"/>
      <w:jc w:val="center"/>
    </w:pPr>
    <w:rPr>
      <w:rFonts w:ascii="微软雅黑" w:hAnsi="微软雅黑" w:eastAsia="微软雅黑" w:cs="宋体"/>
      <w:kern w:val="0"/>
      <w:sz w:val="16"/>
      <w:szCs w:val="16"/>
    </w:rPr>
  </w:style>
  <w:style w:type="paragraph" w:customStyle="1" w:styleId="44">
    <w:name w:val="xl82"/>
    <w:basedOn w:val="1"/>
    <w:uiPriority w:val="0"/>
    <w:pPr>
      <w:widowControl/>
      <w:pBdr>
        <w:top w:val="single" w:color="auto" w:sz="4" w:space="0"/>
        <w:left w:val="single" w:color="auto" w:sz="4" w:space="0"/>
        <w:bottom w:val="single" w:color="auto" w:sz="4" w:space="0"/>
        <w:right w:val="single" w:color="auto" w:sz="4" w:space="0"/>
      </w:pBdr>
      <w:shd w:val="clear" w:color="000000" w:fill="E2EFDA"/>
      <w:spacing w:before="100" w:beforeAutospacing="1" w:after="100" w:afterAutospacing="1"/>
      <w:jc w:val="center"/>
    </w:pPr>
    <w:rPr>
      <w:rFonts w:ascii="微软雅黑" w:hAnsi="微软雅黑" w:eastAsia="微软雅黑" w:cs="宋体"/>
      <w:kern w:val="0"/>
      <w:sz w:val="16"/>
      <w:szCs w:val="16"/>
    </w:rPr>
  </w:style>
  <w:style w:type="paragraph" w:customStyle="1" w:styleId="45">
    <w:name w:val="xl83"/>
    <w:basedOn w:val="1"/>
    <w:uiPriority w:val="0"/>
    <w:pPr>
      <w:widowControl/>
      <w:pBdr>
        <w:top w:val="single" w:color="auto" w:sz="4" w:space="0"/>
        <w:left w:val="single" w:color="auto" w:sz="4" w:space="0"/>
        <w:bottom w:val="single" w:color="auto" w:sz="4" w:space="0"/>
        <w:right w:val="single" w:color="auto" w:sz="4" w:space="0"/>
      </w:pBdr>
      <w:shd w:val="clear" w:color="000000" w:fill="DDEBF7"/>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46">
    <w:name w:val="xl84"/>
    <w:basedOn w:val="1"/>
    <w:uiPriority w:val="0"/>
    <w:pPr>
      <w:widowControl/>
      <w:pBdr>
        <w:top w:val="single" w:color="auto" w:sz="4" w:space="0"/>
        <w:left w:val="single" w:color="auto" w:sz="4" w:space="0"/>
        <w:bottom w:val="single" w:color="auto" w:sz="4" w:space="0"/>
        <w:right w:val="single" w:color="auto" w:sz="4" w:space="0"/>
      </w:pBdr>
      <w:shd w:val="clear" w:color="000000" w:fill="FFF2CC"/>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47">
    <w:name w:val="xl85"/>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48">
    <w:name w:val="xl86"/>
    <w:basedOn w:val="1"/>
    <w:uiPriority w:val="0"/>
    <w:pPr>
      <w:widowControl/>
      <w:pBdr>
        <w:top w:val="single" w:color="auto" w:sz="4" w:space="0"/>
        <w:left w:val="single" w:color="auto" w:sz="4" w:space="0"/>
        <w:bottom w:val="single" w:color="auto" w:sz="4" w:space="0"/>
        <w:right w:val="single" w:color="auto" w:sz="4" w:space="0"/>
      </w:pBdr>
      <w:shd w:val="clear" w:color="000000" w:fill="DDEBF7"/>
      <w:spacing w:before="100" w:beforeAutospacing="1" w:after="100" w:afterAutospacing="1"/>
      <w:jc w:val="center"/>
    </w:pPr>
    <w:rPr>
      <w:rFonts w:ascii="微软雅黑" w:hAnsi="微软雅黑" w:eastAsia="微软雅黑" w:cs="宋体"/>
      <w:kern w:val="0"/>
      <w:sz w:val="16"/>
      <w:szCs w:val="16"/>
    </w:rPr>
  </w:style>
  <w:style w:type="paragraph" w:customStyle="1" w:styleId="49">
    <w:name w:val="xl87"/>
    <w:basedOn w:val="1"/>
    <w:uiPriority w:val="0"/>
    <w:pPr>
      <w:widowControl/>
      <w:pBdr>
        <w:top w:val="single" w:color="auto" w:sz="4" w:space="0"/>
        <w:left w:val="single" w:color="auto" w:sz="4" w:space="0"/>
        <w:bottom w:val="single" w:color="auto" w:sz="4" w:space="0"/>
        <w:right w:val="single" w:color="auto" w:sz="4" w:space="0"/>
      </w:pBdr>
      <w:shd w:val="clear" w:color="000000" w:fill="DDEBF7"/>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50">
    <w:name w:val="xl88"/>
    <w:basedOn w:val="1"/>
    <w:uiPriority w:val="0"/>
    <w:pPr>
      <w:widowControl/>
      <w:pBdr>
        <w:top w:val="single" w:color="auto" w:sz="4" w:space="0"/>
        <w:left w:val="single" w:color="auto" w:sz="4" w:space="0"/>
        <w:bottom w:val="single" w:color="auto" w:sz="4" w:space="0"/>
        <w:right w:val="single" w:color="auto" w:sz="4" w:space="0"/>
      </w:pBdr>
      <w:shd w:val="clear" w:color="000000" w:fill="FFF2CC"/>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51">
    <w:name w:val="xl89"/>
    <w:basedOn w:val="1"/>
    <w:uiPriority w:val="0"/>
    <w:pPr>
      <w:widowControl/>
      <w:pBdr>
        <w:top w:val="single" w:color="auto" w:sz="4" w:space="0"/>
        <w:left w:val="single" w:color="auto" w:sz="4" w:space="0"/>
        <w:bottom w:val="single" w:color="auto" w:sz="4" w:space="0"/>
        <w:right w:val="single" w:color="auto" w:sz="4" w:space="0"/>
      </w:pBdr>
      <w:shd w:val="clear" w:color="000000" w:fill="E2EFDA"/>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52">
    <w:name w:val="xl9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微软雅黑" w:hAnsi="微软雅黑" w:eastAsia="微软雅黑" w:cs="宋体"/>
      <w:color w:val="000000"/>
      <w:kern w:val="0"/>
      <w:sz w:val="16"/>
      <w:szCs w:val="16"/>
    </w:rPr>
  </w:style>
  <w:style w:type="paragraph" w:customStyle="1" w:styleId="53">
    <w:name w:val="xl91"/>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b/>
      <w:bCs/>
      <w:kern w:val="0"/>
      <w:sz w:val="16"/>
      <w:szCs w:val="16"/>
    </w:rPr>
  </w:style>
  <w:style w:type="paragraph" w:customStyle="1" w:styleId="54">
    <w:name w:val="xl92"/>
    <w:basedOn w:val="1"/>
    <w:uiPriority w:val="0"/>
    <w:pPr>
      <w:widowControl/>
      <w:shd w:val="clear" w:color="000000" w:fill="DDEBF7"/>
      <w:spacing w:before="100" w:beforeAutospacing="1" w:after="100" w:afterAutospacing="1"/>
      <w:jc w:val="left"/>
    </w:pPr>
    <w:rPr>
      <w:rFonts w:ascii="宋体" w:hAnsi="宋体" w:eastAsia="宋体" w:cs="宋体"/>
      <w:kern w:val="0"/>
      <w:sz w:val="16"/>
      <w:szCs w:val="16"/>
    </w:rPr>
  </w:style>
  <w:style w:type="paragraph" w:customStyle="1" w:styleId="55">
    <w:name w:val="xl93"/>
    <w:basedOn w:val="1"/>
    <w:uiPriority w:val="0"/>
    <w:pPr>
      <w:widowControl/>
      <w:shd w:val="clear" w:color="000000" w:fill="FFF2CC"/>
      <w:spacing w:before="100" w:beforeAutospacing="1" w:after="100" w:afterAutospacing="1"/>
      <w:jc w:val="left"/>
    </w:pPr>
    <w:rPr>
      <w:rFonts w:ascii="宋体" w:hAnsi="宋体" w:eastAsia="宋体" w:cs="宋体"/>
      <w:kern w:val="0"/>
      <w:sz w:val="16"/>
      <w:szCs w:val="16"/>
    </w:rPr>
  </w:style>
  <w:style w:type="paragraph" w:customStyle="1" w:styleId="56">
    <w:name w:val="xl94"/>
    <w:basedOn w:val="1"/>
    <w:uiPriority w:val="0"/>
    <w:pPr>
      <w:widowControl/>
      <w:shd w:val="clear" w:color="000000" w:fill="E2EFDA"/>
      <w:spacing w:before="100" w:beforeAutospacing="1" w:after="100" w:afterAutospacing="1"/>
      <w:jc w:val="left"/>
    </w:pPr>
    <w:rPr>
      <w:rFonts w:ascii="宋体" w:hAnsi="宋体" w:eastAsia="宋体" w:cs="宋体"/>
      <w:kern w:val="0"/>
      <w:sz w:val="16"/>
      <w:szCs w:val="16"/>
    </w:rPr>
  </w:style>
  <w:style w:type="paragraph" w:customStyle="1" w:styleId="57">
    <w:name w:val="xl95"/>
    <w:basedOn w:val="1"/>
    <w:uiPriority w:val="0"/>
    <w:pPr>
      <w:widowControl/>
      <w:spacing w:before="100" w:beforeAutospacing="1" w:after="100" w:afterAutospacing="1"/>
      <w:jc w:val="left"/>
    </w:pPr>
    <w:rPr>
      <w:rFonts w:ascii="宋体" w:hAnsi="宋体" w:eastAsia="宋体" w:cs="宋体"/>
      <w:kern w:val="0"/>
      <w:sz w:val="16"/>
      <w:szCs w:val="16"/>
    </w:rPr>
  </w:style>
  <w:style w:type="paragraph" w:customStyle="1" w:styleId="58">
    <w:name w:val="xl96"/>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微软雅黑" w:hAnsi="微软雅黑" w:eastAsia="微软雅黑" w:cs="宋体"/>
      <w:kern w:val="0"/>
      <w:sz w:val="16"/>
      <w:szCs w:val="16"/>
    </w:rPr>
  </w:style>
  <w:style w:type="paragraph" w:customStyle="1" w:styleId="59">
    <w:name w:val="xl97"/>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b/>
      <w:bCs/>
      <w:kern w:val="0"/>
      <w:sz w:val="20"/>
      <w:szCs w:val="20"/>
    </w:rPr>
  </w:style>
  <w:style w:type="paragraph" w:customStyle="1" w:styleId="60">
    <w:name w:val="xl98"/>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b/>
      <w:bCs/>
      <w:kern w:val="0"/>
      <w:sz w:val="16"/>
      <w:szCs w:val="16"/>
    </w:rPr>
  </w:style>
  <w:style w:type="paragraph" w:customStyle="1" w:styleId="61">
    <w:name w:val="xl99"/>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20"/>
      <w:szCs w:val="20"/>
    </w:rPr>
  </w:style>
  <w:style w:type="paragraph" w:customStyle="1" w:styleId="62">
    <w:name w:val="xl100"/>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20"/>
      <w:szCs w:val="20"/>
    </w:rPr>
  </w:style>
  <w:style w:type="paragraph" w:customStyle="1" w:styleId="63">
    <w:name w:val="xl101"/>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6"/>
      <w:szCs w:val="16"/>
    </w:rPr>
  </w:style>
  <w:style w:type="paragraph" w:customStyle="1" w:styleId="64">
    <w:name w:val="xl102"/>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16"/>
      <w:szCs w:val="16"/>
    </w:rPr>
  </w:style>
  <w:style w:type="paragraph" w:customStyle="1" w:styleId="65">
    <w:name w:val="xl103"/>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微软雅黑" w:hAnsi="微软雅黑" w:eastAsia="微软雅黑" w:cs="宋体"/>
      <w:kern w:val="0"/>
      <w:sz w:val="14"/>
      <w:szCs w:val="14"/>
    </w:rPr>
  </w:style>
  <w:style w:type="paragraph" w:customStyle="1" w:styleId="66">
    <w:name w:val="xl104"/>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微软雅黑" w:hAnsi="微软雅黑" w:eastAsia="微软雅黑" w:cs="宋体"/>
      <w:kern w:val="0"/>
      <w:sz w:val="12"/>
      <w:szCs w:val="12"/>
    </w:rPr>
  </w:style>
  <w:style w:type="paragraph" w:customStyle="1" w:styleId="67">
    <w:name w:val="xl105"/>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b/>
      <w:bCs/>
      <w:kern w:val="0"/>
      <w:sz w:val="24"/>
      <w:szCs w:val="24"/>
    </w:rPr>
  </w:style>
  <w:style w:type="paragraph" w:customStyle="1" w:styleId="68">
    <w:name w:val="xl106"/>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24"/>
      <w:szCs w:val="24"/>
    </w:rPr>
  </w:style>
  <w:style w:type="paragraph" w:customStyle="1" w:styleId="69">
    <w:name w:val="xl107"/>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微软雅黑" w:hAnsi="微软雅黑" w:eastAsia="微软雅黑" w:cs="宋体"/>
      <w:kern w:val="0"/>
      <w:sz w:val="24"/>
      <w:szCs w:val="24"/>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DoubleOX</Company>
  <Pages>9</Pages>
  <Words>2930</Words>
  <Characters>3267</Characters>
  <Lines>47</Lines>
  <Paragraphs>13</Paragraphs>
  <TotalTime>22</TotalTime>
  <ScaleCrop>false</ScaleCrop>
  <LinksUpToDate>false</LinksUpToDate>
  <CharactersWithSpaces>3289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2025-08-11T08:19:00Z</dcterms:created>
  <dc:creator>27989</dc:creator>
  <cp:lastModifiedBy>匋</cp:lastModifiedBy>
  <cp:lastPrinted>2021-08-23T00:38:00Z</cp:lastPrinted>
  <dcterms:modified xsi:type="dcterms:W3CDTF">2025-08-12T02:00:31Z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A0CC4848606444D8A734E588071FE94B</vt:lpwstr>
  </property>
  <property fmtid="{D5CDD505-2E9C-101B-9397-08002B2CF9AE}" pid="4" name="KSOTemplateDocerSaveRecord">
    <vt:lpwstr>eyJoZGlkIjoiM2M1NDdjMGUyYjRmMTFkZDFlNzRkZTA2MDI1NGRiNTYiLCJ1c2VySWQiOiIyNDExMzk3NDUifQ==</vt:lpwstr>
  </property>
</Properties>
</file>